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04424A8C" w:rsidR="00E978D0" w:rsidRPr="00B57B36" w:rsidRDefault="003B4FF9" w:rsidP="00E978D0">
      <w:pPr>
        <w:pStyle w:val="CETTitle"/>
      </w:pPr>
      <w:r w:rsidRPr="003B4FF9">
        <w:t>Feasibility study for the construction of a demonstration plant for the production of e-fuels</w:t>
      </w:r>
      <w:r>
        <w:t xml:space="preserve"> </w:t>
      </w:r>
    </w:p>
    <w:p w14:paraId="0488FED2" w14:textId="150177D0" w:rsidR="00B57E6F" w:rsidRPr="00B53A58" w:rsidRDefault="00B235B2" w:rsidP="00B57E6F">
      <w:pPr>
        <w:pStyle w:val="CETAuthors"/>
        <w:rPr>
          <w:lang w:val="it-IT"/>
        </w:rPr>
      </w:pPr>
      <w:r w:rsidRPr="00B53A58">
        <w:rPr>
          <w:lang w:val="it-IT"/>
        </w:rPr>
        <w:t xml:space="preserve">Franco Del Manso </w:t>
      </w:r>
      <w:r w:rsidR="00B57E6F" w:rsidRPr="00B53A58">
        <w:rPr>
          <w:vertAlign w:val="superscript"/>
          <w:lang w:val="it-IT"/>
        </w:rPr>
        <w:t>a</w:t>
      </w:r>
      <w:r w:rsidR="00B77953" w:rsidRPr="00B53A58">
        <w:rPr>
          <w:vertAlign w:val="superscript"/>
          <w:lang w:val="it-IT"/>
        </w:rPr>
        <w:t>,</w:t>
      </w:r>
      <w:r w:rsidR="00B77953" w:rsidRPr="00B53A58">
        <w:rPr>
          <w:lang w:val="it-IT"/>
        </w:rPr>
        <w:t>*</w:t>
      </w:r>
      <w:r w:rsidR="00B57E6F" w:rsidRPr="00B53A58">
        <w:rPr>
          <w:lang w:val="it-IT"/>
        </w:rPr>
        <w:t xml:space="preserve">, </w:t>
      </w:r>
      <w:r w:rsidR="00B77953" w:rsidRPr="00B53A58">
        <w:rPr>
          <w:lang w:val="it-IT"/>
        </w:rPr>
        <w:t xml:space="preserve">Simone Casadei, Davide Faedo, Angelo Lunghi, Gabriele Migliavacca </w:t>
      </w:r>
      <w:r w:rsidR="00B57E6F" w:rsidRPr="00B53A58">
        <w:rPr>
          <w:vertAlign w:val="superscript"/>
          <w:lang w:val="it-IT"/>
        </w:rPr>
        <w:t>b</w:t>
      </w:r>
      <w:r w:rsidR="00B57E6F" w:rsidRPr="00B53A58">
        <w:rPr>
          <w:lang w:val="it-IT"/>
        </w:rPr>
        <w:t xml:space="preserve">, </w:t>
      </w:r>
      <w:r w:rsidR="00F200E0" w:rsidRPr="00B53A58">
        <w:rPr>
          <w:lang w:val="it-IT"/>
        </w:rPr>
        <w:t>F</w:t>
      </w:r>
      <w:r w:rsidR="00F200E0">
        <w:rPr>
          <w:lang w:val="it-IT"/>
        </w:rPr>
        <w:t>ederico d’Amore</w:t>
      </w:r>
      <w:r w:rsidR="00F200E0" w:rsidRPr="00CF1EBF">
        <w:rPr>
          <w:lang w:val="it-IT"/>
        </w:rPr>
        <w:t xml:space="preserve"> </w:t>
      </w:r>
      <w:r w:rsidR="00F200E0" w:rsidRPr="00CF1EBF">
        <w:rPr>
          <w:vertAlign w:val="superscript"/>
          <w:lang w:val="it-IT"/>
        </w:rPr>
        <w:t>c</w:t>
      </w:r>
      <w:r w:rsidR="00F200E0">
        <w:rPr>
          <w:vertAlign w:val="superscript"/>
          <w:lang w:val="it-IT"/>
        </w:rPr>
        <w:t xml:space="preserve"> </w:t>
      </w:r>
      <w:r w:rsidR="00F200E0">
        <w:rPr>
          <w:lang w:val="it-IT"/>
        </w:rPr>
        <w:t xml:space="preserve">, </w:t>
      </w:r>
      <w:r w:rsidR="00B77953" w:rsidRPr="00B53A58">
        <w:rPr>
          <w:lang w:val="it-IT"/>
        </w:rPr>
        <w:t xml:space="preserve">Matteo C. Romano </w:t>
      </w:r>
      <w:r w:rsidR="00B77953" w:rsidRPr="00B53A58">
        <w:rPr>
          <w:vertAlign w:val="superscript"/>
          <w:lang w:val="it-IT"/>
        </w:rPr>
        <w:t>c</w:t>
      </w:r>
      <w:r w:rsidR="00B77953" w:rsidRPr="00B53A58">
        <w:rPr>
          <w:lang w:val="it-IT"/>
        </w:rPr>
        <w:t xml:space="preserve"> , Davide Perego </w:t>
      </w:r>
      <w:r w:rsidR="00B77953" w:rsidRPr="00B53A58">
        <w:rPr>
          <w:vertAlign w:val="superscript"/>
          <w:lang w:val="it-IT"/>
        </w:rPr>
        <w:t>d</w:t>
      </w:r>
    </w:p>
    <w:p w14:paraId="6B2D21B3" w14:textId="2B79A203" w:rsidR="00B57E6F" w:rsidRPr="00B53A58" w:rsidRDefault="00B57E6F" w:rsidP="00B57E6F">
      <w:pPr>
        <w:pStyle w:val="CETAddress"/>
        <w:rPr>
          <w:lang w:val="it-IT"/>
        </w:rPr>
      </w:pPr>
      <w:r w:rsidRPr="00B53A58">
        <w:rPr>
          <w:vertAlign w:val="superscript"/>
          <w:lang w:val="it-IT"/>
        </w:rPr>
        <w:t>a</w:t>
      </w:r>
      <w:r w:rsidR="00E66F86" w:rsidRPr="00B53A58">
        <w:rPr>
          <w:vertAlign w:val="superscript"/>
          <w:lang w:val="it-IT"/>
        </w:rPr>
        <w:t xml:space="preserve"> </w:t>
      </w:r>
      <w:r w:rsidR="0049575E" w:rsidRPr="00B53A58">
        <w:rPr>
          <w:lang w:val="it-IT"/>
        </w:rPr>
        <w:t>unem</w:t>
      </w:r>
      <w:r w:rsidR="00B77953" w:rsidRPr="00B53A58">
        <w:rPr>
          <w:lang w:val="it-IT"/>
        </w:rPr>
        <w:t xml:space="preserve">, </w:t>
      </w:r>
      <w:hyperlink r:id="rId10" w:history="1">
        <w:r w:rsidR="00B77953" w:rsidRPr="00B53A58">
          <w:rPr>
            <w:lang w:val="it-IT"/>
          </w:rPr>
          <w:t>P.le Luigi Sturzo, 31 -</w:t>
        </w:r>
      </w:hyperlink>
      <w:r w:rsidR="00B77953" w:rsidRPr="00B53A58">
        <w:rPr>
          <w:lang w:val="it-IT"/>
        </w:rPr>
        <w:t> </w:t>
      </w:r>
      <w:hyperlink r:id="rId11" w:tgtFrame="_blank" w:history="1">
        <w:r w:rsidR="00B77953" w:rsidRPr="00B53A58">
          <w:rPr>
            <w:lang w:val="it-IT"/>
          </w:rPr>
          <w:t>Roma</w:t>
        </w:r>
      </w:hyperlink>
      <w:r w:rsidRPr="00B53A58">
        <w:rPr>
          <w:lang w:val="it-IT"/>
        </w:rPr>
        <w:t xml:space="preserve">, </w:t>
      </w:r>
      <w:hyperlink r:id="rId12" w:tgtFrame="_blank" w:history="1">
        <w:r w:rsidR="0049575E" w:rsidRPr="00B53A58">
          <w:rPr>
            <w:lang w:val="it-IT"/>
          </w:rPr>
          <w:t>delmanso@unem.it</w:t>
        </w:r>
      </w:hyperlink>
      <w:r w:rsidRPr="00B53A58">
        <w:rPr>
          <w:lang w:val="it-IT"/>
        </w:rPr>
        <w:t xml:space="preserve"> </w:t>
      </w:r>
    </w:p>
    <w:p w14:paraId="73F1267A" w14:textId="5D7A8AE5" w:rsidR="00B57E6F" w:rsidRPr="00B53A58" w:rsidRDefault="00B57E6F" w:rsidP="00B77953">
      <w:pPr>
        <w:pStyle w:val="CETAddress"/>
        <w:rPr>
          <w:lang w:val="it-IT"/>
        </w:rPr>
      </w:pPr>
      <w:r w:rsidRPr="00B53A58">
        <w:rPr>
          <w:vertAlign w:val="superscript"/>
          <w:lang w:val="it-IT"/>
        </w:rPr>
        <w:t>b</w:t>
      </w:r>
      <w:r w:rsidR="00E66F86" w:rsidRPr="00B53A58">
        <w:rPr>
          <w:vertAlign w:val="superscript"/>
          <w:lang w:val="it-IT"/>
        </w:rPr>
        <w:t xml:space="preserve"> </w:t>
      </w:r>
      <w:r w:rsidR="00B77953" w:rsidRPr="00B53A58">
        <w:rPr>
          <w:lang w:val="it-IT"/>
        </w:rPr>
        <w:t>Innovhub SSI, Via Galilei, 3 - San Donato Milanese (MI)</w:t>
      </w:r>
    </w:p>
    <w:p w14:paraId="4B1F796D" w14:textId="412F59FE" w:rsidR="00B77953" w:rsidRPr="00B53A58" w:rsidRDefault="00D25544" w:rsidP="00B77953">
      <w:pPr>
        <w:pStyle w:val="CETAddress"/>
        <w:rPr>
          <w:lang w:val="it-IT"/>
        </w:rPr>
      </w:pPr>
      <w:r w:rsidRPr="00B53A58">
        <w:rPr>
          <w:vertAlign w:val="superscript"/>
          <w:lang w:val="it-IT"/>
        </w:rPr>
        <w:t>c</w:t>
      </w:r>
      <w:r w:rsidR="00E66F86" w:rsidRPr="00B53A58">
        <w:rPr>
          <w:vertAlign w:val="superscript"/>
          <w:lang w:val="it-IT"/>
        </w:rPr>
        <w:t xml:space="preserve"> </w:t>
      </w:r>
      <w:r w:rsidRPr="00B53A58">
        <w:rPr>
          <w:lang w:val="it-IT"/>
        </w:rPr>
        <w:t>Politecnico di Milano, Dipartimento di Energia</w:t>
      </w:r>
      <w:r w:rsidR="00BE39B0" w:rsidRPr="00B53A58">
        <w:rPr>
          <w:lang w:val="it-IT"/>
        </w:rPr>
        <w:t>, Via Lambruschini, 4, 20156 Milano (MI)</w:t>
      </w:r>
    </w:p>
    <w:p w14:paraId="118236A6" w14:textId="735349F0" w:rsidR="00B77953" w:rsidRPr="00B53A58" w:rsidRDefault="00BE39B0" w:rsidP="00B77953">
      <w:pPr>
        <w:pStyle w:val="CETAddress"/>
        <w:rPr>
          <w:lang w:val="it-IT"/>
        </w:rPr>
      </w:pPr>
      <w:r w:rsidRPr="00B53A58">
        <w:rPr>
          <w:vertAlign w:val="superscript"/>
          <w:lang w:val="it-IT"/>
        </w:rPr>
        <w:t>d</w:t>
      </w:r>
      <w:r w:rsidR="00E66F86" w:rsidRPr="00B53A58">
        <w:rPr>
          <w:vertAlign w:val="superscript"/>
          <w:lang w:val="it-IT"/>
        </w:rPr>
        <w:t xml:space="preserve"> </w:t>
      </w:r>
      <w:r w:rsidR="00D25544" w:rsidRPr="00B53A58">
        <w:rPr>
          <w:lang w:val="it-IT"/>
        </w:rPr>
        <w:t>Politecnico di Milano</w:t>
      </w:r>
      <w:r w:rsidRPr="00B53A58">
        <w:rPr>
          <w:lang w:val="it-IT"/>
        </w:rPr>
        <w:t>, Energy &amp; Strategy Group</w:t>
      </w:r>
      <w:r w:rsidR="007E3922">
        <w:rPr>
          <w:lang w:val="it-IT"/>
        </w:rPr>
        <w:t>,</w:t>
      </w:r>
      <w:r w:rsidR="00B77953" w:rsidRPr="00B53A58">
        <w:rPr>
          <w:lang w:val="it-IT"/>
        </w:rPr>
        <w:t xml:space="preserve"> </w:t>
      </w:r>
      <w:r w:rsidRPr="00B53A58">
        <w:rPr>
          <w:lang w:val="it-IT"/>
        </w:rPr>
        <w:t>Via Lambruschini, 4, 20156 Milano (MI)</w:t>
      </w:r>
    </w:p>
    <w:p w14:paraId="54188126" w14:textId="77777777" w:rsidR="00B77953" w:rsidRPr="00B53A58" w:rsidRDefault="00B77953" w:rsidP="00B77953">
      <w:pPr>
        <w:pStyle w:val="CETAddress"/>
        <w:rPr>
          <w:lang w:val="it-IT"/>
        </w:rPr>
      </w:pPr>
    </w:p>
    <w:p w14:paraId="17F9BC6B" w14:textId="62BE0EA4" w:rsidR="00B77953" w:rsidRPr="00B53A58" w:rsidRDefault="00B77953" w:rsidP="00B77953">
      <w:pPr>
        <w:pStyle w:val="CETAddress"/>
        <w:rPr>
          <w:lang w:val="it-IT"/>
        </w:rPr>
      </w:pPr>
    </w:p>
    <w:p w14:paraId="30448524" w14:textId="2F78CF98" w:rsidR="00B77953" w:rsidRDefault="00B77953" w:rsidP="00B77953">
      <w:pPr>
        <w:pStyle w:val="CETAddress"/>
        <w:rPr>
          <w:lang w:val="it-IT"/>
        </w:rPr>
      </w:pPr>
    </w:p>
    <w:p w14:paraId="01A8E9B9" w14:textId="77777777" w:rsidR="00AC405D" w:rsidRPr="00AC405D" w:rsidRDefault="00AC405D" w:rsidP="00AC405D">
      <w:pPr>
        <w:rPr>
          <w:b/>
          <w:sz w:val="20"/>
        </w:rPr>
      </w:pPr>
      <w:r w:rsidRPr="00AC405D">
        <w:rPr>
          <w:b/>
          <w:sz w:val="20"/>
        </w:rPr>
        <w:t>Abstract</w:t>
      </w:r>
    </w:p>
    <w:p w14:paraId="481B0A44" w14:textId="77777777" w:rsidR="00AC405D" w:rsidRDefault="00AC405D" w:rsidP="00AC405D"/>
    <w:p w14:paraId="5065A50D" w14:textId="1B860C81" w:rsidR="00AC405D" w:rsidRDefault="00AC405D" w:rsidP="00AC405D">
      <w:r>
        <w:t>The production of e-fuels is mainly based on the synthesis processes of green hydrogen produced by the electrolysis of water (using renewable energy sources) and carbon dioxide (CO</w:t>
      </w:r>
      <w:r w:rsidRPr="00AC405D">
        <w:rPr>
          <w:rFonts w:ascii="Cambria Math" w:hAnsi="Cambria Math" w:cs="Cambria Math"/>
        </w:rPr>
        <w:t>₂</w:t>
      </w:r>
      <w:r>
        <w:t>) which can be captured from a concentrated source (fumes of an industrial site), from the air (through Direct Air Capture, DAC solutions) or by exploiting the CO</w:t>
      </w:r>
      <w:r w:rsidRPr="00AC405D">
        <w:rPr>
          <w:vertAlign w:val="subscript"/>
        </w:rPr>
        <w:t>2</w:t>
      </w:r>
      <w:r>
        <w:t xml:space="preserve"> of biogenic origin deriving from the production of biofuels. E-fuels can be considered climate-neutral fuels since the production process don’t release incremental CO</w:t>
      </w:r>
      <w:r w:rsidRPr="00AC405D">
        <w:rPr>
          <w:vertAlign w:val="subscript"/>
        </w:rPr>
        <w:t>2</w:t>
      </w:r>
      <w:r>
        <w:t xml:space="preserve"> and, thanks to their compatibility with internal combustion engines, they can be used to power road vehicles, airplanes and ships, helping to decarbonise the transport sector.</w:t>
      </w:r>
    </w:p>
    <w:p w14:paraId="6679BA90" w14:textId="1AE6C4F1" w:rsidR="00AC405D" w:rsidRPr="00575F77" w:rsidRDefault="00575F77" w:rsidP="00575F77">
      <w:pPr>
        <w:pStyle w:val="CETBodytext"/>
        <w:spacing w:line="276" w:lineRule="auto"/>
        <w:rPr>
          <w:lang w:val="en-GB"/>
        </w:rPr>
      </w:pPr>
      <w:r>
        <w:rPr>
          <w:lang w:val="en-GB"/>
        </w:rPr>
        <w:t>E</w:t>
      </w:r>
      <w:r w:rsidRPr="00B029DC">
        <w:rPr>
          <w:lang w:val="en-GB"/>
        </w:rPr>
        <w:t xml:space="preserve">-fuels have an energy density much higher than that of batteries and therefore allow for the reduction of greenhouse gas emissions in transport, while preserving the current </w:t>
      </w:r>
      <w:r>
        <w:rPr>
          <w:lang w:val="en-GB"/>
        </w:rPr>
        <w:t xml:space="preserve">circulating </w:t>
      </w:r>
      <w:r w:rsidRPr="00B029DC">
        <w:rPr>
          <w:lang w:val="en-GB"/>
        </w:rPr>
        <w:t xml:space="preserve">fleet of vehicles. It is also possible to continue to use the transport, distribution and sales infrastructures </w:t>
      </w:r>
      <w:r>
        <w:rPr>
          <w:lang w:val="en-GB"/>
        </w:rPr>
        <w:t xml:space="preserve">nowadays in </w:t>
      </w:r>
      <w:r w:rsidRPr="00B029DC">
        <w:rPr>
          <w:lang w:val="en-GB"/>
        </w:rPr>
        <w:t>use for current liquid fuels as they are also perfectly compatible with e-fuels.</w:t>
      </w:r>
    </w:p>
    <w:p w14:paraId="48C0D4BB" w14:textId="66F71428" w:rsidR="00AC405D" w:rsidRPr="00AC405D" w:rsidRDefault="00AC405D" w:rsidP="00AC405D">
      <w:pPr>
        <w:pStyle w:val="CETAddress"/>
        <w:jc w:val="both"/>
        <w:rPr>
          <w:noProof w:val="0"/>
          <w:sz w:val="18"/>
        </w:rPr>
      </w:pPr>
      <w:r w:rsidRPr="00AC405D">
        <w:rPr>
          <w:noProof w:val="0"/>
          <w:sz w:val="18"/>
        </w:rPr>
        <w:t>The project presented in this paper aimed to define the technical-economic parameters of a demonstrative pilot plant, able to produce sufficient quantities of e-fuels (Fischer-Tropsch) to carry out performance tests, as well as to evaluate the technical and economic potential for a future development in the Italian energy landscape.</w:t>
      </w:r>
    </w:p>
    <w:p w14:paraId="3474D8AB" w14:textId="77777777" w:rsidR="00AC405D" w:rsidRPr="00D1666A" w:rsidRDefault="00AC405D" w:rsidP="00B77953">
      <w:pPr>
        <w:pStyle w:val="CETAddress"/>
        <w:rPr>
          <w:lang w:val="en-US"/>
        </w:rPr>
      </w:pPr>
    </w:p>
    <w:p w14:paraId="476B2F2E" w14:textId="373FE437" w:rsidR="00600535" w:rsidRDefault="00600535" w:rsidP="00600535">
      <w:pPr>
        <w:pStyle w:val="CETHeading1"/>
        <w:rPr>
          <w:lang w:val="en-GB"/>
        </w:rPr>
      </w:pPr>
      <w:r w:rsidRPr="00B57B36">
        <w:rPr>
          <w:lang w:val="en-GB"/>
        </w:rPr>
        <w:t>Introduction</w:t>
      </w:r>
    </w:p>
    <w:p w14:paraId="2922DC3C" w14:textId="3967C3DD" w:rsidR="00EB1D19" w:rsidRDefault="00EB1D19" w:rsidP="00EB1D19">
      <w:pPr>
        <w:pStyle w:val="CETBodytext"/>
        <w:rPr>
          <w:lang w:val="en-GB"/>
        </w:rPr>
      </w:pPr>
    </w:p>
    <w:p w14:paraId="2E33166D" w14:textId="71417C87" w:rsidR="00B029DC" w:rsidRPr="00B029DC" w:rsidRDefault="00B029DC" w:rsidP="000F430E">
      <w:pPr>
        <w:pStyle w:val="CETBodytext"/>
        <w:spacing w:line="276" w:lineRule="auto"/>
        <w:rPr>
          <w:lang w:val="en-GB"/>
        </w:rPr>
      </w:pPr>
      <w:r w:rsidRPr="00B029DC">
        <w:rPr>
          <w:lang w:val="en-GB"/>
        </w:rPr>
        <w:t xml:space="preserve">E-fuels are </w:t>
      </w:r>
      <w:r w:rsidR="00BD7A33" w:rsidRPr="00B029DC">
        <w:rPr>
          <w:lang w:val="en-GB"/>
        </w:rPr>
        <w:t xml:space="preserve">synthetic </w:t>
      </w:r>
      <w:r w:rsidRPr="00B029DC">
        <w:rPr>
          <w:lang w:val="en-GB"/>
        </w:rPr>
        <w:t xml:space="preserve">liquid or gaseous fuels, produced through </w:t>
      </w:r>
      <w:r w:rsidR="004B52CF">
        <w:rPr>
          <w:lang w:val="en-GB"/>
        </w:rPr>
        <w:t>t</w:t>
      </w:r>
      <w:r w:rsidR="004B52CF" w:rsidRPr="00B029DC">
        <w:rPr>
          <w:lang w:val="en-GB"/>
        </w:rPr>
        <w:t>he combination of CO</w:t>
      </w:r>
      <w:r w:rsidR="004B52CF" w:rsidRPr="00FA3712">
        <w:rPr>
          <w:vertAlign w:val="subscript"/>
          <w:lang w:val="en-GB"/>
        </w:rPr>
        <w:t>2</w:t>
      </w:r>
      <w:r w:rsidR="004B52CF" w:rsidRPr="00B029DC">
        <w:rPr>
          <w:lang w:val="en-GB"/>
        </w:rPr>
        <w:t xml:space="preserve"> and H</w:t>
      </w:r>
      <w:r w:rsidR="004B52CF" w:rsidRPr="00FA3712">
        <w:rPr>
          <w:vertAlign w:val="subscript"/>
          <w:lang w:val="en-GB"/>
        </w:rPr>
        <w:t>2</w:t>
      </w:r>
      <w:r w:rsidR="004B52CF" w:rsidRPr="00B029DC">
        <w:rPr>
          <w:lang w:val="en-GB"/>
        </w:rPr>
        <w:t xml:space="preserve"> </w:t>
      </w:r>
      <w:r w:rsidR="004B52CF">
        <w:rPr>
          <w:lang w:val="en-GB"/>
        </w:rPr>
        <w:t>from</w:t>
      </w:r>
      <w:r w:rsidR="004B52CF" w:rsidRPr="00B029DC">
        <w:rPr>
          <w:lang w:val="en-GB"/>
        </w:rPr>
        <w:t xml:space="preserve"> renewable </w:t>
      </w:r>
      <w:r w:rsidR="004B52CF">
        <w:rPr>
          <w:lang w:val="en-GB"/>
        </w:rPr>
        <w:t>source</w:t>
      </w:r>
      <w:r w:rsidR="005B3C75">
        <w:rPr>
          <w:lang w:val="en-GB"/>
        </w:rPr>
        <w:t>s</w:t>
      </w:r>
      <w:r w:rsidR="004B52CF" w:rsidRPr="00B029DC">
        <w:rPr>
          <w:lang w:val="en-GB"/>
        </w:rPr>
        <w:t xml:space="preserve"> to produce renewable fuels. </w:t>
      </w:r>
      <w:r w:rsidRPr="00B029DC">
        <w:rPr>
          <w:lang w:val="en-GB"/>
        </w:rPr>
        <w:t xml:space="preserve">The overall effect of the e-fuel production process is to transform renewable electricity </w:t>
      </w:r>
      <w:r w:rsidR="004B52CF">
        <w:rPr>
          <w:lang w:val="en-GB"/>
        </w:rPr>
        <w:t xml:space="preserve">and </w:t>
      </w:r>
      <w:r w:rsidR="004B52CF" w:rsidRPr="00B029DC">
        <w:rPr>
          <w:lang w:val="en-GB"/>
        </w:rPr>
        <w:t>CO</w:t>
      </w:r>
      <w:r w:rsidR="004B52CF" w:rsidRPr="00FA3712">
        <w:rPr>
          <w:vertAlign w:val="subscript"/>
          <w:lang w:val="en-GB"/>
        </w:rPr>
        <w:t>2</w:t>
      </w:r>
      <w:r w:rsidR="004B52CF" w:rsidRPr="00B029DC">
        <w:rPr>
          <w:lang w:val="en-GB"/>
        </w:rPr>
        <w:t xml:space="preserve"> </w:t>
      </w:r>
      <w:r w:rsidRPr="00B029DC">
        <w:rPr>
          <w:lang w:val="en-GB"/>
        </w:rPr>
        <w:t>into chemical energy in the form of</w:t>
      </w:r>
      <w:r w:rsidR="00BD7A33">
        <w:rPr>
          <w:lang w:val="en-GB"/>
        </w:rPr>
        <w:t xml:space="preserve"> </w:t>
      </w:r>
      <w:r w:rsidRPr="00B029DC">
        <w:rPr>
          <w:lang w:val="en-GB"/>
        </w:rPr>
        <w:t>climate-friendly fuels, which can be used as energy carriers (Dena, 2019)</w:t>
      </w:r>
      <w:r w:rsidR="004437CC">
        <w:rPr>
          <w:lang w:val="en-GB"/>
        </w:rPr>
        <w:t xml:space="preserve"> (</w:t>
      </w:r>
      <w:proofErr w:type="spellStart"/>
      <w:r w:rsidR="004437CC" w:rsidRPr="00617DA8">
        <w:t>Fratalocchi</w:t>
      </w:r>
      <w:proofErr w:type="spellEnd"/>
      <w:r w:rsidR="004437CC">
        <w:t>, 2020</w:t>
      </w:r>
      <w:r w:rsidR="004437CC">
        <w:rPr>
          <w:lang w:val="en-GB"/>
        </w:rPr>
        <w:t>)</w:t>
      </w:r>
      <w:r w:rsidRPr="00B029DC">
        <w:rPr>
          <w:lang w:val="en-GB"/>
        </w:rPr>
        <w:t>.</w:t>
      </w:r>
    </w:p>
    <w:p w14:paraId="78F01C6D" w14:textId="637AED03" w:rsidR="00B029DC" w:rsidRPr="00B029DC" w:rsidRDefault="00B029DC" w:rsidP="000F430E">
      <w:pPr>
        <w:pStyle w:val="CETBodytext"/>
        <w:spacing w:line="276" w:lineRule="auto"/>
        <w:rPr>
          <w:lang w:val="en-GB"/>
        </w:rPr>
      </w:pPr>
      <w:r w:rsidRPr="00B029DC">
        <w:rPr>
          <w:lang w:val="en-GB"/>
        </w:rPr>
        <w:t xml:space="preserve">It is possible to classify e-fuels into two </w:t>
      </w:r>
      <w:r w:rsidR="00BD7A33">
        <w:rPr>
          <w:lang w:val="en-GB"/>
        </w:rPr>
        <w:t xml:space="preserve">main </w:t>
      </w:r>
      <w:r w:rsidRPr="00B029DC">
        <w:rPr>
          <w:lang w:val="en-GB"/>
        </w:rPr>
        <w:t>categories:</w:t>
      </w:r>
    </w:p>
    <w:p w14:paraId="2E7F87B9" w14:textId="43EC5EB5" w:rsidR="00B029DC" w:rsidRPr="00B029DC" w:rsidRDefault="00B029DC" w:rsidP="000F430E">
      <w:pPr>
        <w:pStyle w:val="CETBodytext"/>
        <w:spacing w:line="276" w:lineRule="auto"/>
        <w:ind w:left="708"/>
        <w:rPr>
          <w:lang w:val="en-GB"/>
        </w:rPr>
      </w:pPr>
      <w:r w:rsidRPr="00B029DC">
        <w:rPr>
          <w:lang w:val="en-GB"/>
        </w:rPr>
        <w:t>1. Power-to-Gas (</w:t>
      </w:r>
      <w:proofErr w:type="spellStart"/>
      <w:r w:rsidRPr="00B029DC">
        <w:rPr>
          <w:lang w:val="en-GB"/>
        </w:rPr>
        <w:t>PtG</w:t>
      </w:r>
      <w:proofErr w:type="spellEnd"/>
      <w:r w:rsidRPr="00B029DC">
        <w:rPr>
          <w:lang w:val="en-GB"/>
        </w:rPr>
        <w:t xml:space="preserve">), </w:t>
      </w:r>
      <w:r w:rsidR="00AE4306">
        <w:rPr>
          <w:lang w:val="en-GB"/>
        </w:rPr>
        <w:t>such as</w:t>
      </w:r>
      <w:r w:rsidRPr="00B029DC">
        <w:rPr>
          <w:lang w:val="en-GB"/>
        </w:rPr>
        <w:t xml:space="preserve">, </w:t>
      </w:r>
      <w:proofErr w:type="spellStart"/>
      <w:r w:rsidRPr="00B029DC">
        <w:rPr>
          <w:lang w:val="en-GB"/>
        </w:rPr>
        <w:t>eg.</w:t>
      </w:r>
      <w:proofErr w:type="spellEnd"/>
      <w:r w:rsidRPr="00B029DC">
        <w:rPr>
          <w:lang w:val="en-GB"/>
        </w:rPr>
        <w:t xml:space="preserve"> Hydrogen and Methane</w:t>
      </w:r>
      <w:r w:rsidR="00BD7A33">
        <w:rPr>
          <w:lang w:val="en-GB"/>
        </w:rPr>
        <w:t>;</w:t>
      </w:r>
    </w:p>
    <w:p w14:paraId="6D867D13" w14:textId="473AE4F0" w:rsidR="00B029DC" w:rsidRDefault="00B029DC" w:rsidP="000F430E">
      <w:pPr>
        <w:pStyle w:val="CETBodytext"/>
        <w:spacing w:line="276" w:lineRule="auto"/>
        <w:ind w:left="708"/>
        <w:rPr>
          <w:lang w:val="en-GB"/>
        </w:rPr>
      </w:pPr>
      <w:r w:rsidRPr="00B029DC">
        <w:rPr>
          <w:lang w:val="en-GB"/>
        </w:rPr>
        <w:t>2. Power-to-Liquid (</w:t>
      </w:r>
      <w:proofErr w:type="spellStart"/>
      <w:r w:rsidRPr="00B029DC">
        <w:rPr>
          <w:lang w:val="en-GB"/>
        </w:rPr>
        <w:t>PtL</w:t>
      </w:r>
      <w:proofErr w:type="spellEnd"/>
      <w:r w:rsidRPr="00B029DC">
        <w:rPr>
          <w:lang w:val="en-GB"/>
        </w:rPr>
        <w:t xml:space="preserve">), which includes, </w:t>
      </w:r>
      <w:r w:rsidR="002B4BD9">
        <w:rPr>
          <w:lang w:val="en-GB"/>
        </w:rPr>
        <w:t>Gasoline</w:t>
      </w:r>
      <w:r w:rsidRPr="00B029DC">
        <w:rPr>
          <w:lang w:val="en-GB"/>
        </w:rPr>
        <w:t xml:space="preserve">, Diesel, Kerosene, Methanol, Ammonia, </w:t>
      </w:r>
      <w:proofErr w:type="spellStart"/>
      <w:r w:rsidRPr="00B029DC">
        <w:rPr>
          <w:lang w:val="en-GB"/>
        </w:rPr>
        <w:t>Dimethylether</w:t>
      </w:r>
      <w:proofErr w:type="spellEnd"/>
      <w:r w:rsidRPr="00B029DC">
        <w:rPr>
          <w:lang w:val="en-GB"/>
        </w:rPr>
        <w:t xml:space="preserve"> (DME), Polyoxymethylene dimethyl ether (OME), Olefins</w:t>
      </w:r>
      <w:r w:rsidR="00BD7A33">
        <w:rPr>
          <w:lang w:val="en-GB"/>
        </w:rPr>
        <w:t>.</w:t>
      </w:r>
    </w:p>
    <w:p w14:paraId="025C4955" w14:textId="77777777" w:rsidR="00BD7A33" w:rsidRPr="00B029DC" w:rsidRDefault="00BD7A33" w:rsidP="000F430E">
      <w:pPr>
        <w:pStyle w:val="CETBodytext"/>
        <w:spacing w:line="276" w:lineRule="auto"/>
        <w:ind w:left="708"/>
        <w:rPr>
          <w:lang w:val="en-GB"/>
        </w:rPr>
      </w:pPr>
    </w:p>
    <w:p w14:paraId="5B793CEF" w14:textId="2BE3A700" w:rsidR="00B029DC" w:rsidRPr="00B029DC" w:rsidRDefault="00B029DC" w:rsidP="000F430E">
      <w:pPr>
        <w:pStyle w:val="CETBodytext"/>
        <w:spacing w:line="276" w:lineRule="auto"/>
        <w:rPr>
          <w:lang w:val="en-GB"/>
        </w:rPr>
      </w:pPr>
      <w:r w:rsidRPr="00B029DC">
        <w:rPr>
          <w:lang w:val="en-GB"/>
        </w:rPr>
        <w:t xml:space="preserve">The e-fuels characteristics are very similar to those of the corresponding traditional </w:t>
      </w:r>
      <w:r w:rsidR="00BD7A33">
        <w:rPr>
          <w:lang w:val="en-GB"/>
        </w:rPr>
        <w:t>one</w:t>
      </w:r>
      <w:r w:rsidRPr="00B029DC">
        <w:rPr>
          <w:lang w:val="en-GB"/>
        </w:rPr>
        <w:t>s and this makes them compatible both with the existing transport, distribution and storage infrastructure, and with the current end use systems (Frontier Economics, 2018).</w:t>
      </w:r>
    </w:p>
    <w:p w14:paraId="5523808E" w14:textId="77777777" w:rsidR="00B029DC" w:rsidRPr="00B029DC" w:rsidRDefault="00B029DC" w:rsidP="000F430E">
      <w:pPr>
        <w:pStyle w:val="CETBodytext"/>
        <w:spacing w:line="276" w:lineRule="auto"/>
        <w:rPr>
          <w:lang w:val="en-GB"/>
        </w:rPr>
      </w:pPr>
    </w:p>
    <w:p w14:paraId="4E07985C" w14:textId="221E19C9" w:rsidR="00B029DC" w:rsidRPr="00B029DC" w:rsidRDefault="00B029DC" w:rsidP="000F430E">
      <w:pPr>
        <w:pStyle w:val="CETBodytext"/>
        <w:spacing w:line="276" w:lineRule="auto"/>
        <w:rPr>
          <w:lang w:val="en-GB"/>
        </w:rPr>
      </w:pPr>
      <w:r w:rsidRPr="00B029DC">
        <w:rPr>
          <w:lang w:val="en-GB"/>
        </w:rPr>
        <w:lastRenderedPageBreak/>
        <w:t xml:space="preserve">The production of e-fuels also represents an important solution to the problem of long-term storage of energy produced from intermittent renewable sources. In Europe, the production of wind and photovoltaic energy is constantly increasing </w:t>
      </w:r>
      <w:r w:rsidR="0098454D">
        <w:rPr>
          <w:lang w:val="en-GB"/>
        </w:rPr>
        <w:t>but</w:t>
      </w:r>
      <w:r w:rsidRPr="00B029DC">
        <w:rPr>
          <w:lang w:val="en-GB"/>
        </w:rPr>
        <w:t xml:space="preserve"> is characterized by a strong intermittence in relation to weather conditions, </w:t>
      </w:r>
      <w:r w:rsidR="0098454D">
        <w:rPr>
          <w:lang w:val="en-GB"/>
        </w:rPr>
        <w:t>based on</w:t>
      </w:r>
      <w:r w:rsidRPr="00B029DC">
        <w:rPr>
          <w:lang w:val="en-GB"/>
        </w:rPr>
        <w:t xml:space="preserve"> daily, weekly and monthly variations. The </w:t>
      </w:r>
      <w:r w:rsidR="0098454D">
        <w:rPr>
          <w:lang w:val="en-GB"/>
        </w:rPr>
        <w:t>amount</w:t>
      </w:r>
      <w:r w:rsidRPr="00B029DC">
        <w:rPr>
          <w:lang w:val="en-GB"/>
        </w:rPr>
        <w:t xml:space="preserve"> of renewable electricity produced in excess of the grid demand can be efficiently stored for seconds, hours, days and weeks (</w:t>
      </w:r>
      <w:proofErr w:type="gramStart"/>
      <w:r w:rsidRPr="00B029DC">
        <w:rPr>
          <w:lang w:val="en-GB"/>
        </w:rPr>
        <w:t>e.g.</w:t>
      </w:r>
      <w:proofErr w:type="gramEnd"/>
      <w:r w:rsidRPr="00B029DC">
        <w:rPr>
          <w:lang w:val="en-GB"/>
        </w:rPr>
        <w:t xml:space="preserve"> in batteries), but convenient solutions for long-term storage are not yet available (O`Connell et. Al., 2019). Thanks to their high energy density, e-fuels can balance the intermittency of renewable electricity production (in large-scale stationary systems as well as in mobile tanks), integrating </w:t>
      </w:r>
      <w:r w:rsidR="0098454D">
        <w:rPr>
          <w:lang w:val="en-GB"/>
        </w:rPr>
        <w:t>the</w:t>
      </w:r>
      <w:r w:rsidRPr="00B029DC">
        <w:rPr>
          <w:lang w:val="en-GB"/>
        </w:rPr>
        <w:t xml:space="preserve"> traditional energy storage systems (Blanco and Faaij, 2018).</w:t>
      </w:r>
    </w:p>
    <w:p w14:paraId="146CD3EC" w14:textId="77777777" w:rsidR="00B029DC" w:rsidRPr="00B029DC" w:rsidRDefault="00B029DC" w:rsidP="000F430E">
      <w:pPr>
        <w:pStyle w:val="CETBodytext"/>
        <w:spacing w:line="276" w:lineRule="auto"/>
        <w:rPr>
          <w:lang w:val="en-GB"/>
        </w:rPr>
      </w:pPr>
    </w:p>
    <w:p w14:paraId="2E0AB7B0" w14:textId="438580D3" w:rsidR="00B029DC" w:rsidRPr="00B029DC" w:rsidRDefault="004B52CF" w:rsidP="000F430E">
      <w:pPr>
        <w:pStyle w:val="CETBodytext"/>
        <w:spacing w:line="276" w:lineRule="auto"/>
        <w:rPr>
          <w:lang w:val="en-GB"/>
        </w:rPr>
      </w:pPr>
      <w:r>
        <w:rPr>
          <w:lang w:val="en-GB"/>
        </w:rPr>
        <w:t>T</w:t>
      </w:r>
      <w:r w:rsidR="00B029DC" w:rsidRPr="00B029DC">
        <w:rPr>
          <w:lang w:val="en-GB"/>
        </w:rPr>
        <w:t>he production of e-fuels is mainly based on the synthesis processes of green hydrogen produced by the electrolysis of water (using renewable energy sources) and carbon dioxide (CO</w:t>
      </w:r>
      <w:r w:rsidR="00B029DC" w:rsidRPr="00B029DC">
        <w:rPr>
          <w:rFonts w:ascii="Cambria Math" w:hAnsi="Cambria Math" w:cs="Cambria Math"/>
          <w:lang w:val="en-GB"/>
        </w:rPr>
        <w:t>₂</w:t>
      </w:r>
      <w:r w:rsidR="00B029DC" w:rsidRPr="00B029DC">
        <w:rPr>
          <w:lang w:val="en-GB"/>
        </w:rPr>
        <w:t>) which can be captured from a concentrated source (fumes of an industrial site), from the air (through Direct Air Capture, DAC solutions) or by exploiting the CO</w:t>
      </w:r>
      <w:r w:rsidR="00B029DC" w:rsidRPr="000E67BD">
        <w:rPr>
          <w:vertAlign w:val="subscript"/>
          <w:lang w:val="en-GB"/>
        </w:rPr>
        <w:t>2</w:t>
      </w:r>
      <w:r w:rsidR="00B029DC" w:rsidRPr="00B029DC">
        <w:rPr>
          <w:lang w:val="en-GB"/>
        </w:rPr>
        <w:t xml:space="preserve"> of biogenic origin deriving from the production of biofuels. Therefore, e-fuels, not releasing incremental CO</w:t>
      </w:r>
      <w:r w:rsidR="00B029DC" w:rsidRPr="000E67BD">
        <w:rPr>
          <w:vertAlign w:val="subscript"/>
          <w:lang w:val="en-GB"/>
        </w:rPr>
        <w:t>2</w:t>
      </w:r>
      <w:r w:rsidR="000E67BD">
        <w:rPr>
          <w:lang w:val="en-GB"/>
        </w:rPr>
        <w:t xml:space="preserve"> in air</w:t>
      </w:r>
      <w:r w:rsidR="005B3C75">
        <w:rPr>
          <w:lang w:val="en-GB"/>
        </w:rPr>
        <w:t>,</w:t>
      </w:r>
      <w:r w:rsidR="00B029DC" w:rsidRPr="00B029DC">
        <w:rPr>
          <w:lang w:val="en-GB"/>
        </w:rPr>
        <w:t xml:space="preserve"> can be considered climate-neutral fuels and</w:t>
      </w:r>
      <w:r w:rsidR="000E67BD">
        <w:rPr>
          <w:lang w:val="en-GB"/>
        </w:rPr>
        <w:t>,</w:t>
      </w:r>
      <w:r w:rsidR="00B029DC" w:rsidRPr="00B029DC">
        <w:rPr>
          <w:lang w:val="en-GB"/>
        </w:rPr>
        <w:t xml:space="preserve"> thanks to their compatibility with internal combustion engines, can be used </w:t>
      </w:r>
      <w:r w:rsidR="000E67BD">
        <w:rPr>
          <w:lang w:val="en-GB"/>
        </w:rPr>
        <w:t>in</w:t>
      </w:r>
      <w:r w:rsidR="00B029DC" w:rsidRPr="00B029DC">
        <w:rPr>
          <w:lang w:val="en-GB"/>
        </w:rPr>
        <w:t xml:space="preserve"> road vehicles, airplanes and ships, helping to decarbonise </w:t>
      </w:r>
      <w:r w:rsidR="000E67BD">
        <w:rPr>
          <w:lang w:val="en-GB"/>
        </w:rPr>
        <w:t xml:space="preserve">the </w:t>
      </w:r>
      <w:r w:rsidR="00773874">
        <w:rPr>
          <w:lang w:val="en-GB"/>
        </w:rPr>
        <w:t xml:space="preserve">entire </w:t>
      </w:r>
      <w:r w:rsidR="00870DDA">
        <w:rPr>
          <w:lang w:val="en-GB"/>
        </w:rPr>
        <w:t xml:space="preserve">transport </w:t>
      </w:r>
      <w:r w:rsidR="00B029DC" w:rsidRPr="00B029DC">
        <w:rPr>
          <w:lang w:val="en-GB"/>
        </w:rPr>
        <w:t>sector.</w:t>
      </w:r>
    </w:p>
    <w:p w14:paraId="6C35A231" w14:textId="253564CC" w:rsidR="00B029DC" w:rsidRPr="00B029DC" w:rsidRDefault="000753FB" w:rsidP="000F430E">
      <w:pPr>
        <w:pStyle w:val="CETBodytext"/>
        <w:spacing w:line="276" w:lineRule="auto"/>
        <w:rPr>
          <w:lang w:val="en-GB"/>
        </w:rPr>
      </w:pPr>
      <w:r>
        <w:rPr>
          <w:lang w:val="en-GB"/>
        </w:rPr>
        <w:t>E</w:t>
      </w:r>
      <w:r w:rsidR="00B029DC" w:rsidRPr="00B029DC">
        <w:rPr>
          <w:lang w:val="en-GB"/>
        </w:rPr>
        <w:t xml:space="preserve">-fuels have an energy density much higher than that of batteries and therefore allow for the reduction of greenhouse gas emissions in transport, while preserving the current </w:t>
      </w:r>
      <w:r w:rsidR="00870DDA">
        <w:rPr>
          <w:lang w:val="en-GB"/>
        </w:rPr>
        <w:t xml:space="preserve">circulating </w:t>
      </w:r>
      <w:r w:rsidR="00B029DC" w:rsidRPr="00B029DC">
        <w:rPr>
          <w:lang w:val="en-GB"/>
        </w:rPr>
        <w:t xml:space="preserve">fleet of vehicles. It is also possible to continue to use the transport, distribution and sales infrastructures </w:t>
      </w:r>
      <w:r w:rsidR="00870DDA">
        <w:rPr>
          <w:lang w:val="en-GB"/>
        </w:rPr>
        <w:t>now</w:t>
      </w:r>
      <w:r>
        <w:rPr>
          <w:lang w:val="en-GB"/>
        </w:rPr>
        <w:t>a</w:t>
      </w:r>
      <w:r w:rsidR="00870DDA">
        <w:rPr>
          <w:lang w:val="en-GB"/>
        </w:rPr>
        <w:t xml:space="preserve">days </w:t>
      </w:r>
      <w:r w:rsidR="007035A8">
        <w:rPr>
          <w:lang w:val="en-GB"/>
        </w:rPr>
        <w:t xml:space="preserve">in </w:t>
      </w:r>
      <w:r w:rsidR="00B029DC" w:rsidRPr="00B029DC">
        <w:rPr>
          <w:lang w:val="en-GB"/>
        </w:rPr>
        <w:t>use for current liquid fuels as they are also perfectly compatible with e-fuels.</w:t>
      </w:r>
    </w:p>
    <w:p w14:paraId="609C2809" w14:textId="0C689B63" w:rsidR="00B029DC" w:rsidRPr="00B029DC" w:rsidRDefault="00B029DC" w:rsidP="000F430E">
      <w:pPr>
        <w:pStyle w:val="CETBodytext"/>
        <w:spacing w:line="276" w:lineRule="auto"/>
        <w:rPr>
          <w:lang w:val="en-GB"/>
        </w:rPr>
      </w:pPr>
      <w:r w:rsidRPr="00B029DC">
        <w:rPr>
          <w:lang w:val="en-GB"/>
        </w:rPr>
        <w:t>The project aimed to carry out a process analysis to define the technical-economic parameters of a demonstration pilot plant</w:t>
      </w:r>
      <w:r w:rsidR="00DE483E">
        <w:rPr>
          <w:lang w:val="en-GB"/>
        </w:rPr>
        <w:t>, to</w:t>
      </w:r>
      <w:r w:rsidRPr="00B029DC">
        <w:rPr>
          <w:lang w:val="en-GB"/>
        </w:rPr>
        <w:t xml:space="preserve"> </w:t>
      </w:r>
      <w:r w:rsidR="00DE483E">
        <w:rPr>
          <w:lang w:val="en-GB"/>
        </w:rPr>
        <w:t xml:space="preserve">study </w:t>
      </w:r>
      <w:r w:rsidR="00DE483E" w:rsidRPr="00B029DC">
        <w:rPr>
          <w:lang w:val="en-GB"/>
        </w:rPr>
        <w:t xml:space="preserve">feasibility </w:t>
      </w:r>
      <w:r w:rsidR="00DE483E">
        <w:rPr>
          <w:lang w:val="en-GB"/>
        </w:rPr>
        <w:t xml:space="preserve">of </w:t>
      </w:r>
      <w:r w:rsidRPr="00B029DC">
        <w:rPr>
          <w:lang w:val="en-GB"/>
        </w:rPr>
        <w:t>the technology, to produce sufficient quantities of e-fuels (Fischer-</w:t>
      </w:r>
      <w:proofErr w:type="spellStart"/>
      <w:r w:rsidRPr="00B029DC">
        <w:rPr>
          <w:lang w:val="en-GB"/>
        </w:rPr>
        <w:t>Tropsch</w:t>
      </w:r>
      <w:proofErr w:type="spellEnd"/>
      <w:r w:rsidR="00AE4306">
        <w:rPr>
          <w:lang w:val="en-GB"/>
        </w:rPr>
        <w:t xml:space="preserve"> or e-FT</w:t>
      </w:r>
      <w:r w:rsidRPr="00B029DC">
        <w:rPr>
          <w:lang w:val="en-GB"/>
        </w:rPr>
        <w:t>) to conduct performance tests, as well as to evaluate the technical and economic potential for development in the Italian energy landscape.</w:t>
      </w:r>
    </w:p>
    <w:p w14:paraId="61B8D362" w14:textId="77777777" w:rsidR="00B029DC" w:rsidRPr="00B029DC" w:rsidRDefault="00B029DC" w:rsidP="000F430E">
      <w:pPr>
        <w:pStyle w:val="CETBodytext"/>
        <w:spacing w:line="276" w:lineRule="auto"/>
        <w:rPr>
          <w:lang w:val="en-GB"/>
        </w:rPr>
      </w:pPr>
    </w:p>
    <w:p w14:paraId="65860AD5" w14:textId="4BC61674" w:rsidR="00457C4F" w:rsidRDefault="00B029DC" w:rsidP="000F430E">
      <w:pPr>
        <w:pStyle w:val="CETBodytext"/>
        <w:spacing w:line="276" w:lineRule="auto"/>
        <w:rPr>
          <w:lang w:val="en-GB"/>
        </w:rPr>
      </w:pPr>
      <w:r w:rsidRPr="00B029DC">
        <w:rPr>
          <w:lang w:val="en-GB"/>
        </w:rPr>
        <w:t xml:space="preserve">The work officially began in February 2021 thanks to the collaboration between </w:t>
      </w:r>
      <w:proofErr w:type="spellStart"/>
      <w:r w:rsidRPr="00B029DC">
        <w:rPr>
          <w:lang w:val="en-GB"/>
        </w:rPr>
        <w:t>Innovhub</w:t>
      </w:r>
      <w:proofErr w:type="spellEnd"/>
      <w:r w:rsidRPr="00B029DC">
        <w:rPr>
          <w:lang w:val="en-GB"/>
        </w:rPr>
        <w:t xml:space="preserve"> SSI and the </w:t>
      </w:r>
      <w:proofErr w:type="spellStart"/>
      <w:r w:rsidRPr="00B029DC">
        <w:rPr>
          <w:lang w:val="en-GB"/>
        </w:rPr>
        <w:t>Politecnico</w:t>
      </w:r>
      <w:proofErr w:type="spellEnd"/>
      <w:r w:rsidRPr="00B029DC">
        <w:rPr>
          <w:lang w:val="en-GB"/>
        </w:rPr>
        <w:t xml:space="preserve"> di Milano. In particular</w:t>
      </w:r>
      <w:r w:rsidR="00457C4F">
        <w:rPr>
          <w:lang w:val="en-GB"/>
        </w:rPr>
        <w:t>:</w:t>
      </w:r>
    </w:p>
    <w:p w14:paraId="28A41A37" w14:textId="73F878CE" w:rsidR="00457C4F" w:rsidRDefault="00457C4F" w:rsidP="000F430E">
      <w:pPr>
        <w:pStyle w:val="CETBodytext"/>
        <w:spacing w:line="276" w:lineRule="auto"/>
        <w:rPr>
          <w:lang w:val="en-GB"/>
        </w:rPr>
      </w:pPr>
      <w:r>
        <w:rPr>
          <w:lang w:val="en-GB"/>
        </w:rPr>
        <w:t xml:space="preserve">- </w:t>
      </w:r>
      <w:r w:rsidR="00B029DC" w:rsidRPr="00B029DC">
        <w:rPr>
          <w:lang w:val="en-GB"/>
        </w:rPr>
        <w:t xml:space="preserve">the GECOS Group of the Department of Energy carried out the technical-economic analysis of e-fuel production plants, </w:t>
      </w:r>
      <w:r>
        <w:rPr>
          <w:lang w:val="en-GB"/>
        </w:rPr>
        <w:t>defined</w:t>
      </w:r>
      <w:r w:rsidRPr="00B029DC">
        <w:rPr>
          <w:lang w:val="en-GB"/>
        </w:rPr>
        <w:t xml:space="preserve"> </w:t>
      </w:r>
      <w:r w:rsidR="00B029DC" w:rsidRPr="00B029DC">
        <w:rPr>
          <w:lang w:val="en-GB"/>
        </w:rPr>
        <w:t xml:space="preserve">the process specifications of the main components and </w:t>
      </w:r>
      <w:r>
        <w:rPr>
          <w:lang w:val="en-GB"/>
        </w:rPr>
        <w:t>estimated</w:t>
      </w:r>
      <w:r w:rsidRPr="00B029DC">
        <w:rPr>
          <w:lang w:val="en-GB"/>
        </w:rPr>
        <w:t xml:space="preserve"> </w:t>
      </w:r>
      <w:r w:rsidR="00B029DC" w:rsidRPr="00B029DC">
        <w:rPr>
          <w:lang w:val="en-GB"/>
        </w:rPr>
        <w:t>the investment and operating costs of the plant</w:t>
      </w:r>
      <w:r>
        <w:rPr>
          <w:lang w:val="en-GB"/>
        </w:rPr>
        <w:t>;</w:t>
      </w:r>
    </w:p>
    <w:p w14:paraId="0A9248F2" w14:textId="7822BAF0" w:rsidR="00B029DC" w:rsidRPr="00B029DC" w:rsidRDefault="00457C4F" w:rsidP="000F430E">
      <w:pPr>
        <w:pStyle w:val="CETBodytext"/>
        <w:spacing w:line="276" w:lineRule="auto"/>
        <w:rPr>
          <w:lang w:val="en-GB"/>
        </w:rPr>
      </w:pPr>
      <w:r>
        <w:rPr>
          <w:lang w:val="en-GB"/>
        </w:rPr>
        <w:t xml:space="preserve">- </w:t>
      </w:r>
      <w:r w:rsidR="00B029DC" w:rsidRPr="00B029DC">
        <w:rPr>
          <w:lang w:val="en-GB"/>
        </w:rPr>
        <w:t xml:space="preserve">the Energy &amp; Strategy Group of the Department of Management Engineering was entrusted with the task of identifying and characterizing the </w:t>
      </w:r>
      <w:r w:rsidR="008759BD">
        <w:rPr>
          <w:lang w:val="en-GB"/>
        </w:rPr>
        <w:t xml:space="preserve">economic </w:t>
      </w:r>
      <w:r w:rsidR="00B029DC" w:rsidRPr="00B029DC">
        <w:rPr>
          <w:lang w:val="en-GB"/>
        </w:rPr>
        <w:t>variables associated with the construction of e-fuels production plants in Italy</w:t>
      </w:r>
      <w:r>
        <w:rPr>
          <w:lang w:val="en-GB"/>
        </w:rPr>
        <w:t xml:space="preserve"> and</w:t>
      </w:r>
      <w:r w:rsidR="00B029DC" w:rsidRPr="00B029DC">
        <w:rPr>
          <w:lang w:val="en-GB"/>
        </w:rPr>
        <w:t xml:space="preserve"> to demonstrate the </w:t>
      </w:r>
      <w:r w:rsidR="008759BD" w:rsidRPr="00B029DC">
        <w:rPr>
          <w:lang w:val="en-GB"/>
        </w:rPr>
        <w:t>feasibility</w:t>
      </w:r>
      <w:r w:rsidR="00B029DC" w:rsidRPr="00B029DC">
        <w:rPr>
          <w:lang w:val="en-GB"/>
        </w:rPr>
        <w:t xml:space="preserve"> of the </w:t>
      </w:r>
      <w:r w:rsidR="008759BD">
        <w:rPr>
          <w:lang w:val="en-GB"/>
        </w:rPr>
        <w:t>project</w:t>
      </w:r>
      <w:r w:rsidR="00B029DC" w:rsidRPr="00B029DC">
        <w:rPr>
          <w:lang w:val="en-GB"/>
        </w:rPr>
        <w:t>.</w:t>
      </w:r>
    </w:p>
    <w:p w14:paraId="2905266F" w14:textId="77777777" w:rsidR="00B029DC" w:rsidRPr="00B029DC" w:rsidRDefault="00B029DC" w:rsidP="000F430E">
      <w:pPr>
        <w:pStyle w:val="CETBodytext"/>
        <w:spacing w:line="276" w:lineRule="auto"/>
        <w:rPr>
          <w:lang w:val="en-GB"/>
        </w:rPr>
      </w:pPr>
    </w:p>
    <w:p w14:paraId="52E9F902" w14:textId="40D8DC1A" w:rsidR="008759BD" w:rsidRDefault="008759BD" w:rsidP="00B029DC">
      <w:pPr>
        <w:pStyle w:val="CETBodytext"/>
        <w:rPr>
          <w:lang w:val="en-GB"/>
        </w:rPr>
      </w:pPr>
    </w:p>
    <w:p w14:paraId="5A80A5E3" w14:textId="422CFA58" w:rsidR="00D1666A" w:rsidRPr="00C02391" w:rsidRDefault="00D1666A" w:rsidP="00B029DC">
      <w:pPr>
        <w:pStyle w:val="CETBodytext"/>
        <w:rPr>
          <w:lang w:val="en-GB"/>
        </w:rPr>
      </w:pPr>
      <w:r>
        <w:rPr>
          <w:lang w:val="en-GB"/>
        </w:rPr>
        <w:t xml:space="preserve">The applied methodology and the main results of the project are </w:t>
      </w:r>
      <w:r w:rsidRPr="00D1666A">
        <w:rPr>
          <w:lang w:val="en-GB"/>
        </w:rPr>
        <w:t>briefly described</w:t>
      </w:r>
      <w:r>
        <w:rPr>
          <w:lang w:val="en-GB"/>
        </w:rPr>
        <w:t xml:space="preserve"> in </w:t>
      </w:r>
      <w:r w:rsidRPr="00C02391">
        <w:rPr>
          <w:lang w:val="en-GB"/>
        </w:rPr>
        <w:t>paragraphs 2,3 and 4.</w:t>
      </w:r>
    </w:p>
    <w:p w14:paraId="5741900F" w14:textId="7D905A73" w:rsidR="00453E24" w:rsidRDefault="00E92672" w:rsidP="00453E24">
      <w:pPr>
        <w:pStyle w:val="CETHeading1"/>
      </w:pPr>
      <w:r w:rsidRPr="00E92672">
        <w:t>Description of the pilot plant</w:t>
      </w:r>
    </w:p>
    <w:p w14:paraId="03412C9B" w14:textId="53D511DE" w:rsidR="00EA045D" w:rsidRDefault="00EA045D" w:rsidP="00453E24">
      <w:pPr>
        <w:pStyle w:val="CETBodytext"/>
      </w:pPr>
    </w:p>
    <w:p w14:paraId="2BA7B4D8" w14:textId="7683A0F0" w:rsidR="00E92672" w:rsidRPr="00E92672" w:rsidRDefault="007024A0" w:rsidP="00B53A58">
      <w:pPr>
        <w:pStyle w:val="Default"/>
        <w:spacing w:line="276" w:lineRule="auto"/>
        <w:jc w:val="both"/>
        <w:rPr>
          <w:rFonts w:ascii="Arial" w:eastAsia="Times New Roman" w:hAnsi="Arial" w:cs="Times New Roman"/>
          <w:color w:val="auto"/>
          <w:sz w:val="18"/>
          <w:szCs w:val="20"/>
          <w:lang w:val="en-US"/>
        </w:rPr>
      </w:pPr>
      <w:r w:rsidRPr="007024A0">
        <w:rPr>
          <w:rFonts w:ascii="Arial" w:eastAsia="Times New Roman" w:hAnsi="Arial" w:cs="Times New Roman"/>
          <w:color w:val="auto"/>
          <w:sz w:val="18"/>
          <w:szCs w:val="20"/>
          <w:lang w:val="en-US"/>
        </w:rPr>
        <w:t>In the first phase of the project, it was decided to consider a plant for the production of</w:t>
      </w:r>
      <w:r w:rsidR="00E92672" w:rsidRPr="00E92672">
        <w:rPr>
          <w:rFonts w:ascii="Arial" w:eastAsia="Times New Roman" w:hAnsi="Arial" w:cs="Times New Roman"/>
          <w:color w:val="auto"/>
          <w:sz w:val="18"/>
          <w:szCs w:val="20"/>
          <w:lang w:val="en-US"/>
        </w:rPr>
        <w:t xml:space="preserve"> e-FT, </w:t>
      </w:r>
      <w:r>
        <w:rPr>
          <w:rFonts w:ascii="Arial" w:eastAsia="Times New Roman" w:hAnsi="Arial" w:cs="Times New Roman"/>
          <w:color w:val="auto"/>
          <w:sz w:val="18"/>
          <w:szCs w:val="20"/>
          <w:lang w:val="en-US"/>
        </w:rPr>
        <w:t>starting from</w:t>
      </w:r>
      <w:r w:rsidR="00E92672" w:rsidRPr="00E92672">
        <w:rPr>
          <w:rFonts w:ascii="Arial" w:eastAsia="Times New Roman" w:hAnsi="Arial" w:cs="Times New Roman"/>
          <w:color w:val="auto"/>
          <w:sz w:val="18"/>
          <w:szCs w:val="20"/>
          <w:lang w:val="en-US"/>
        </w:rPr>
        <w:t xml:space="preserve"> the production of H</w:t>
      </w:r>
      <w:r w:rsidR="00E92672" w:rsidRPr="008759BD">
        <w:rPr>
          <w:rFonts w:ascii="Arial" w:eastAsia="Times New Roman" w:hAnsi="Arial" w:cs="Times New Roman"/>
          <w:color w:val="auto"/>
          <w:sz w:val="18"/>
          <w:szCs w:val="20"/>
          <w:vertAlign w:val="subscript"/>
          <w:lang w:val="en-US"/>
        </w:rPr>
        <w:t>2</w:t>
      </w:r>
      <w:r w:rsidR="00E92672" w:rsidRPr="00E92672">
        <w:rPr>
          <w:rFonts w:ascii="Arial" w:eastAsia="Times New Roman" w:hAnsi="Arial" w:cs="Times New Roman"/>
          <w:color w:val="auto"/>
          <w:sz w:val="18"/>
          <w:szCs w:val="20"/>
          <w:lang w:val="en-US"/>
        </w:rPr>
        <w:t xml:space="preserve"> through electrolysis of water at low temperatures. An example of a complete scheme of the pilot plant proposed for e-FT production is shown in Figure 1.</w:t>
      </w:r>
    </w:p>
    <w:p w14:paraId="5BD18E25" w14:textId="77777777" w:rsidR="00E92672" w:rsidRPr="00E92672" w:rsidRDefault="00E92672" w:rsidP="00B53A58">
      <w:pPr>
        <w:pStyle w:val="Default"/>
        <w:spacing w:line="276" w:lineRule="auto"/>
        <w:jc w:val="both"/>
        <w:rPr>
          <w:rFonts w:ascii="Arial" w:eastAsia="Times New Roman" w:hAnsi="Arial" w:cs="Times New Roman"/>
          <w:color w:val="auto"/>
          <w:sz w:val="18"/>
          <w:szCs w:val="20"/>
          <w:lang w:val="en-US"/>
        </w:rPr>
      </w:pPr>
    </w:p>
    <w:p w14:paraId="11470CD1" w14:textId="39FEF066" w:rsidR="00E92672" w:rsidRPr="00E92672" w:rsidRDefault="00E92672" w:rsidP="006F090B">
      <w:pPr>
        <w:pStyle w:val="Default"/>
        <w:spacing w:line="276" w:lineRule="auto"/>
        <w:jc w:val="both"/>
        <w:rPr>
          <w:rFonts w:ascii="Arial" w:eastAsia="Times New Roman" w:hAnsi="Arial" w:cs="Times New Roman"/>
          <w:color w:val="auto"/>
          <w:sz w:val="18"/>
          <w:szCs w:val="20"/>
          <w:lang w:val="en-US"/>
        </w:rPr>
      </w:pPr>
      <w:r w:rsidRPr="00E92672">
        <w:rPr>
          <w:rFonts w:ascii="Arial" w:eastAsia="Times New Roman" w:hAnsi="Arial" w:cs="Times New Roman"/>
          <w:color w:val="auto"/>
          <w:sz w:val="18"/>
          <w:szCs w:val="20"/>
          <w:lang w:val="en-US"/>
        </w:rPr>
        <w:t xml:space="preserve">The make-up water is pumped at 30 bar and integrated with a flow of recirculated water from the system itself, also pumped at 30 </w:t>
      </w:r>
      <w:proofErr w:type="gramStart"/>
      <w:r w:rsidRPr="00E92672">
        <w:rPr>
          <w:rFonts w:ascii="Arial" w:eastAsia="Times New Roman" w:hAnsi="Arial" w:cs="Times New Roman"/>
          <w:color w:val="auto"/>
          <w:sz w:val="18"/>
          <w:szCs w:val="20"/>
          <w:lang w:val="en-US"/>
        </w:rPr>
        <w:t>bar</w:t>
      </w:r>
      <w:proofErr w:type="gramEnd"/>
      <w:r w:rsidRPr="00E92672">
        <w:rPr>
          <w:rFonts w:ascii="Arial" w:eastAsia="Times New Roman" w:hAnsi="Arial" w:cs="Times New Roman"/>
          <w:color w:val="auto"/>
          <w:sz w:val="18"/>
          <w:szCs w:val="20"/>
          <w:lang w:val="en-US"/>
        </w:rPr>
        <w:t>, after</w:t>
      </w:r>
      <w:r w:rsidR="000753FB">
        <w:rPr>
          <w:rFonts w:ascii="Arial" w:eastAsia="Times New Roman" w:hAnsi="Arial" w:cs="Times New Roman"/>
          <w:color w:val="auto"/>
          <w:sz w:val="18"/>
          <w:szCs w:val="20"/>
          <w:lang w:val="en-US"/>
        </w:rPr>
        <w:t xml:space="preserve"> proper treatment</w:t>
      </w:r>
      <w:r w:rsidRPr="00E92672">
        <w:rPr>
          <w:rFonts w:ascii="Arial" w:eastAsia="Times New Roman" w:hAnsi="Arial" w:cs="Times New Roman"/>
          <w:color w:val="auto"/>
          <w:sz w:val="18"/>
          <w:szCs w:val="20"/>
          <w:lang w:val="en-US"/>
        </w:rPr>
        <w:t>. The total flow of H</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O </w:t>
      </w:r>
      <w:r w:rsidR="00320401">
        <w:rPr>
          <w:rFonts w:ascii="Arial" w:eastAsia="Times New Roman" w:hAnsi="Arial" w:cs="Times New Roman"/>
          <w:color w:val="auto"/>
          <w:sz w:val="18"/>
          <w:szCs w:val="20"/>
          <w:lang w:val="en-US"/>
        </w:rPr>
        <w:t>is fed into</w:t>
      </w:r>
      <w:r w:rsidRPr="00E92672">
        <w:rPr>
          <w:rFonts w:ascii="Arial" w:eastAsia="Times New Roman" w:hAnsi="Arial" w:cs="Times New Roman"/>
          <w:color w:val="auto"/>
          <w:sz w:val="18"/>
          <w:szCs w:val="20"/>
          <w:lang w:val="en-US"/>
        </w:rPr>
        <w:t xml:space="preserve"> the low temperature </w:t>
      </w:r>
      <w:proofErr w:type="spellStart"/>
      <w:r w:rsidRPr="00E92672">
        <w:rPr>
          <w:rFonts w:ascii="Arial" w:eastAsia="Times New Roman" w:hAnsi="Arial" w:cs="Times New Roman"/>
          <w:color w:val="auto"/>
          <w:sz w:val="18"/>
          <w:szCs w:val="20"/>
          <w:lang w:val="en-US"/>
        </w:rPr>
        <w:t>electrolyser</w:t>
      </w:r>
      <w:proofErr w:type="spellEnd"/>
      <w:r w:rsidRPr="00E92672">
        <w:rPr>
          <w:rFonts w:ascii="Arial" w:eastAsia="Times New Roman" w:hAnsi="Arial" w:cs="Times New Roman"/>
          <w:color w:val="auto"/>
          <w:sz w:val="18"/>
          <w:szCs w:val="20"/>
          <w:lang w:val="en-US"/>
        </w:rPr>
        <w:t>, which consumes electricity to generate O</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and H</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At the same time, a flow of CO</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is mixed with a flow of </w:t>
      </w:r>
      <w:r w:rsidR="007024A0" w:rsidRPr="00E92672">
        <w:rPr>
          <w:rFonts w:ascii="Arial" w:eastAsia="Times New Roman" w:hAnsi="Arial" w:cs="Times New Roman"/>
          <w:color w:val="auto"/>
          <w:sz w:val="18"/>
          <w:szCs w:val="20"/>
          <w:lang w:val="en-US"/>
        </w:rPr>
        <w:t xml:space="preserve">recirculated </w:t>
      </w:r>
      <w:r w:rsidRPr="00E92672">
        <w:rPr>
          <w:rFonts w:ascii="Arial" w:eastAsia="Times New Roman" w:hAnsi="Arial" w:cs="Times New Roman"/>
          <w:color w:val="auto"/>
          <w:sz w:val="18"/>
          <w:szCs w:val="20"/>
          <w:lang w:val="en-US"/>
        </w:rPr>
        <w:t>CO</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in</w:t>
      </w:r>
      <w:r w:rsidR="007024A0">
        <w:rPr>
          <w:rFonts w:ascii="Arial" w:eastAsia="Times New Roman" w:hAnsi="Arial" w:cs="Times New Roman"/>
          <w:color w:val="auto"/>
          <w:sz w:val="18"/>
          <w:szCs w:val="20"/>
          <w:lang w:val="en-US"/>
        </w:rPr>
        <w:t>to</w:t>
      </w:r>
      <w:r w:rsidRPr="00E92672">
        <w:rPr>
          <w:rFonts w:ascii="Arial" w:eastAsia="Times New Roman" w:hAnsi="Arial" w:cs="Times New Roman"/>
          <w:color w:val="auto"/>
          <w:sz w:val="18"/>
          <w:szCs w:val="20"/>
          <w:lang w:val="en-US"/>
        </w:rPr>
        <w:t xml:space="preserve"> the system and sent to a compression unit. Subsequently, the CO</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compressed at 30 bar is mixed with the H</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produced by electrolysis, then the overall flow is preheated (pre-heat1) to be fed to the</w:t>
      </w:r>
      <w:r w:rsidR="00320401">
        <w:rPr>
          <w:rFonts w:ascii="Arial" w:eastAsia="Times New Roman" w:hAnsi="Arial" w:cs="Times New Roman"/>
          <w:color w:val="auto"/>
          <w:sz w:val="18"/>
          <w:szCs w:val="20"/>
          <w:lang w:val="en-US"/>
        </w:rPr>
        <w:t xml:space="preserve"> </w:t>
      </w:r>
      <w:r w:rsidR="00320401" w:rsidRPr="005656C2">
        <w:rPr>
          <w:rFonts w:ascii="Arial" w:eastAsia="Times New Roman" w:hAnsi="Arial" w:cs="Times New Roman"/>
          <w:color w:val="auto"/>
          <w:sz w:val="18"/>
          <w:szCs w:val="20"/>
          <w:lang w:val="en-US"/>
        </w:rPr>
        <w:t xml:space="preserve">reverse water gas shift </w:t>
      </w:r>
      <w:r w:rsidR="00320401">
        <w:rPr>
          <w:rFonts w:ascii="Arial" w:eastAsia="Times New Roman" w:hAnsi="Arial" w:cs="Times New Roman"/>
          <w:color w:val="auto"/>
          <w:sz w:val="18"/>
          <w:szCs w:val="20"/>
          <w:lang w:val="en-US"/>
        </w:rPr>
        <w:t>(</w:t>
      </w:r>
      <w:r w:rsidRPr="00E92672">
        <w:rPr>
          <w:rFonts w:ascii="Arial" w:eastAsia="Times New Roman" w:hAnsi="Arial" w:cs="Times New Roman"/>
          <w:color w:val="auto"/>
          <w:sz w:val="18"/>
          <w:szCs w:val="20"/>
          <w:lang w:val="en-US"/>
        </w:rPr>
        <w:t>RWGS</w:t>
      </w:r>
      <w:r w:rsidR="00320401">
        <w:rPr>
          <w:rFonts w:ascii="Arial" w:eastAsia="Times New Roman" w:hAnsi="Arial" w:cs="Times New Roman"/>
          <w:color w:val="auto"/>
          <w:sz w:val="18"/>
          <w:szCs w:val="20"/>
          <w:lang w:val="en-US"/>
        </w:rPr>
        <w:t>)</w:t>
      </w:r>
      <w:r w:rsidRPr="00E92672">
        <w:rPr>
          <w:rFonts w:ascii="Arial" w:eastAsia="Times New Roman" w:hAnsi="Arial" w:cs="Times New Roman"/>
          <w:color w:val="auto"/>
          <w:sz w:val="18"/>
          <w:szCs w:val="20"/>
          <w:lang w:val="en-US"/>
        </w:rPr>
        <w:t xml:space="preserve"> reactor. The heat necessary to support the reactions inside the RWGS reactor is supplied by an electric heating system. The product of the RWGS reactor is cooled by preheating the flow entering </w:t>
      </w:r>
      <w:r w:rsidR="007024A0">
        <w:rPr>
          <w:rFonts w:ascii="Arial" w:eastAsia="Times New Roman" w:hAnsi="Arial" w:cs="Times New Roman"/>
          <w:color w:val="auto"/>
          <w:sz w:val="18"/>
          <w:szCs w:val="20"/>
          <w:lang w:val="en-US"/>
        </w:rPr>
        <w:t xml:space="preserve">in </w:t>
      </w:r>
      <w:r w:rsidRPr="00E92672">
        <w:rPr>
          <w:rFonts w:ascii="Arial" w:eastAsia="Times New Roman" w:hAnsi="Arial" w:cs="Times New Roman"/>
          <w:color w:val="auto"/>
          <w:sz w:val="18"/>
          <w:szCs w:val="20"/>
          <w:lang w:val="en-US"/>
        </w:rPr>
        <w:t xml:space="preserve">the reactor itself and is then further cooled with cooling water (cooler1), separating the fraction of water by condensation and recirculating it. The obtained </w:t>
      </w:r>
      <w:r w:rsidR="00573ABB" w:rsidRPr="00E92672">
        <w:rPr>
          <w:rFonts w:ascii="Arial" w:eastAsia="Times New Roman" w:hAnsi="Arial" w:cs="Times New Roman"/>
          <w:color w:val="auto"/>
          <w:sz w:val="18"/>
          <w:szCs w:val="20"/>
          <w:lang w:val="en-US"/>
        </w:rPr>
        <w:t xml:space="preserve">syngas </w:t>
      </w:r>
      <w:r w:rsidRPr="00E92672">
        <w:rPr>
          <w:rFonts w:ascii="Arial" w:eastAsia="Times New Roman" w:hAnsi="Arial" w:cs="Times New Roman"/>
          <w:color w:val="auto"/>
          <w:sz w:val="18"/>
          <w:szCs w:val="20"/>
          <w:lang w:val="en-US"/>
        </w:rPr>
        <w:t xml:space="preserve">is sent to </w:t>
      </w:r>
      <w:r w:rsidR="00573ABB">
        <w:rPr>
          <w:rFonts w:ascii="Arial" w:eastAsia="Times New Roman" w:hAnsi="Arial" w:cs="Times New Roman"/>
          <w:color w:val="auto"/>
          <w:sz w:val="18"/>
          <w:szCs w:val="20"/>
          <w:lang w:val="en-US"/>
        </w:rPr>
        <w:t>an amine based (MDEA)</w:t>
      </w:r>
      <w:r w:rsidRPr="00E92672">
        <w:rPr>
          <w:rFonts w:ascii="Arial" w:eastAsia="Times New Roman" w:hAnsi="Arial" w:cs="Times New Roman"/>
          <w:color w:val="auto"/>
          <w:sz w:val="18"/>
          <w:szCs w:val="20"/>
          <w:lang w:val="en-US"/>
        </w:rPr>
        <w:t xml:space="preserve"> CO</w:t>
      </w:r>
      <w:r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separation system. The flow </w:t>
      </w:r>
      <w:r w:rsidR="007024A0">
        <w:rPr>
          <w:rFonts w:ascii="Arial" w:eastAsia="Times New Roman" w:hAnsi="Arial" w:cs="Times New Roman"/>
          <w:color w:val="auto"/>
          <w:sz w:val="18"/>
          <w:szCs w:val="20"/>
          <w:lang w:val="en-US"/>
        </w:rPr>
        <w:t xml:space="preserve">coming </w:t>
      </w:r>
      <w:r w:rsidRPr="00E92672">
        <w:rPr>
          <w:rFonts w:ascii="Arial" w:eastAsia="Times New Roman" w:hAnsi="Arial" w:cs="Times New Roman"/>
          <w:color w:val="auto"/>
          <w:sz w:val="18"/>
          <w:szCs w:val="20"/>
          <w:lang w:val="en-US"/>
        </w:rPr>
        <w:t>out of the</w:t>
      </w:r>
      <w:r w:rsidR="00573ABB">
        <w:rPr>
          <w:rFonts w:ascii="Arial" w:eastAsia="Times New Roman" w:hAnsi="Arial" w:cs="Times New Roman"/>
          <w:color w:val="auto"/>
          <w:sz w:val="18"/>
          <w:szCs w:val="20"/>
          <w:lang w:val="en-US"/>
        </w:rPr>
        <w:t xml:space="preserve"> </w:t>
      </w:r>
      <w:r w:rsidR="00573ABB" w:rsidRPr="00E92672">
        <w:rPr>
          <w:rFonts w:ascii="Arial" w:eastAsia="Times New Roman" w:hAnsi="Arial" w:cs="Times New Roman"/>
          <w:color w:val="auto"/>
          <w:sz w:val="18"/>
          <w:szCs w:val="20"/>
          <w:lang w:val="en-US"/>
        </w:rPr>
        <w:t>CO</w:t>
      </w:r>
      <w:r w:rsidR="00573ABB" w:rsidRPr="007024A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 xml:space="preserve"> absorber is </w:t>
      </w:r>
      <w:r w:rsidR="007024A0">
        <w:rPr>
          <w:rFonts w:ascii="Arial" w:eastAsia="Times New Roman" w:hAnsi="Arial" w:cs="Times New Roman"/>
          <w:color w:val="auto"/>
          <w:sz w:val="18"/>
          <w:szCs w:val="20"/>
          <w:lang w:val="en-US"/>
        </w:rPr>
        <w:t xml:space="preserve">then </w:t>
      </w:r>
      <w:r w:rsidRPr="00E92672">
        <w:rPr>
          <w:rFonts w:ascii="Arial" w:eastAsia="Times New Roman" w:hAnsi="Arial" w:cs="Times New Roman"/>
          <w:color w:val="auto"/>
          <w:sz w:val="18"/>
          <w:szCs w:val="20"/>
          <w:lang w:val="en-US"/>
        </w:rPr>
        <w:t xml:space="preserve">mixed with a recirculation of light products which, once preheated (pre-heat2), constitutes the </w:t>
      </w:r>
      <w:r w:rsidR="00320401">
        <w:rPr>
          <w:rFonts w:ascii="Arial" w:eastAsia="Times New Roman" w:hAnsi="Arial" w:cs="Times New Roman"/>
          <w:color w:val="auto"/>
          <w:sz w:val="18"/>
          <w:szCs w:val="20"/>
          <w:lang w:val="en-US"/>
        </w:rPr>
        <w:t>feed</w:t>
      </w:r>
      <w:r w:rsidRPr="00E92672">
        <w:rPr>
          <w:rFonts w:ascii="Arial" w:eastAsia="Times New Roman" w:hAnsi="Arial" w:cs="Times New Roman"/>
          <w:color w:val="auto"/>
          <w:sz w:val="18"/>
          <w:szCs w:val="20"/>
          <w:lang w:val="en-US"/>
        </w:rPr>
        <w:t xml:space="preserve"> of the FT synthesis reactor.</w:t>
      </w:r>
    </w:p>
    <w:p w14:paraId="6DC36C90" w14:textId="77777777" w:rsidR="00E92672" w:rsidRPr="00E92672" w:rsidRDefault="00E92672" w:rsidP="00B53A58">
      <w:pPr>
        <w:pStyle w:val="Default"/>
        <w:spacing w:line="276" w:lineRule="auto"/>
        <w:jc w:val="both"/>
        <w:rPr>
          <w:rFonts w:ascii="Arial" w:eastAsia="Times New Roman" w:hAnsi="Arial" w:cs="Times New Roman"/>
          <w:color w:val="auto"/>
          <w:sz w:val="18"/>
          <w:szCs w:val="20"/>
          <w:lang w:val="en-US"/>
        </w:rPr>
      </w:pPr>
    </w:p>
    <w:p w14:paraId="0947D5F9" w14:textId="71A37B03" w:rsidR="00FC2E01" w:rsidRDefault="00E92672" w:rsidP="00B53A58">
      <w:pPr>
        <w:pStyle w:val="Default"/>
        <w:spacing w:line="276" w:lineRule="auto"/>
        <w:jc w:val="both"/>
        <w:rPr>
          <w:rFonts w:ascii="Arial" w:eastAsia="Times New Roman" w:hAnsi="Arial" w:cs="Times New Roman"/>
          <w:color w:val="auto"/>
          <w:sz w:val="18"/>
          <w:szCs w:val="20"/>
          <w:lang w:val="en-US"/>
        </w:rPr>
      </w:pPr>
      <w:r w:rsidRPr="00E92672">
        <w:rPr>
          <w:rFonts w:ascii="Arial" w:eastAsia="Times New Roman" w:hAnsi="Arial" w:cs="Times New Roman"/>
          <w:color w:val="auto"/>
          <w:sz w:val="18"/>
          <w:szCs w:val="20"/>
          <w:lang w:val="en-US"/>
        </w:rPr>
        <w:lastRenderedPageBreak/>
        <w:t>During the simulation</w:t>
      </w:r>
      <w:r w:rsidR="007F1B0F">
        <w:rPr>
          <w:rFonts w:ascii="Arial" w:eastAsia="Times New Roman" w:hAnsi="Arial" w:cs="Times New Roman"/>
          <w:color w:val="auto"/>
          <w:sz w:val="18"/>
          <w:szCs w:val="20"/>
          <w:lang w:val="en-US"/>
        </w:rPr>
        <w:t xml:space="preserve"> </w:t>
      </w:r>
      <w:r w:rsidR="007F1B0F" w:rsidRPr="00E92672">
        <w:rPr>
          <w:rFonts w:ascii="Arial" w:eastAsia="Times New Roman" w:hAnsi="Arial" w:cs="Times New Roman"/>
          <w:color w:val="auto"/>
          <w:sz w:val="18"/>
          <w:szCs w:val="20"/>
          <w:lang w:val="en-US"/>
        </w:rPr>
        <w:t>studies</w:t>
      </w:r>
      <w:r w:rsidRPr="00E92672">
        <w:rPr>
          <w:rFonts w:ascii="Arial" w:eastAsia="Times New Roman" w:hAnsi="Arial" w:cs="Times New Roman"/>
          <w:color w:val="auto"/>
          <w:sz w:val="18"/>
          <w:szCs w:val="20"/>
          <w:lang w:val="en-US"/>
        </w:rPr>
        <w:t>, different case</w:t>
      </w:r>
      <w:r w:rsidR="007F1B0F">
        <w:rPr>
          <w:rFonts w:ascii="Arial" w:eastAsia="Times New Roman" w:hAnsi="Arial" w:cs="Times New Roman"/>
          <w:color w:val="auto"/>
          <w:sz w:val="18"/>
          <w:szCs w:val="20"/>
          <w:lang w:val="en-US"/>
        </w:rPr>
        <w:t>s</w:t>
      </w:r>
      <w:r w:rsidRPr="00E92672">
        <w:rPr>
          <w:rFonts w:ascii="Arial" w:eastAsia="Times New Roman" w:hAnsi="Arial" w:cs="Times New Roman"/>
          <w:color w:val="auto"/>
          <w:sz w:val="18"/>
          <w:szCs w:val="20"/>
          <w:lang w:val="en-US"/>
        </w:rPr>
        <w:t xml:space="preserve"> were analyzed on the basis of the H</w:t>
      </w:r>
      <w:r w:rsidRPr="009E2690">
        <w:rPr>
          <w:rFonts w:ascii="Arial" w:eastAsia="Times New Roman" w:hAnsi="Arial" w:cs="Times New Roman"/>
          <w:color w:val="auto"/>
          <w:sz w:val="18"/>
          <w:szCs w:val="20"/>
          <w:vertAlign w:val="subscript"/>
          <w:lang w:val="en-US"/>
        </w:rPr>
        <w:t>2</w:t>
      </w:r>
      <w:r w:rsidRPr="00E92672">
        <w:rPr>
          <w:rFonts w:ascii="Arial" w:eastAsia="Times New Roman" w:hAnsi="Arial" w:cs="Times New Roman"/>
          <w:color w:val="auto"/>
          <w:sz w:val="18"/>
          <w:szCs w:val="20"/>
          <w:lang w:val="en-US"/>
        </w:rPr>
        <w:t>/CO ratio set at the inlet to the synthesis reactor and the results were evaluated in terms of mass and energy balance.</w:t>
      </w:r>
    </w:p>
    <w:p w14:paraId="4C72312B" w14:textId="0914580A" w:rsidR="00EA045D" w:rsidRDefault="00EA045D" w:rsidP="00453E24">
      <w:pPr>
        <w:pStyle w:val="CETBodytext"/>
      </w:pPr>
    </w:p>
    <w:p w14:paraId="6C823DC3" w14:textId="5B8862A4" w:rsidR="00EA045D" w:rsidRDefault="00EA045D" w:rsidP="00453E24">
      <w:pPr>
        <w:pStyle w:val="CETBodytext"/>
      </w:pPr>
    </w:p>
    <w:p w14:paraId="1A3D10B6" w14:textId="3A2A8CDA" w:rsidR="00EA045D" w:rsidRDefault="000A2BEE" w:rsidP="0044299B">
      <w:pPr>
        <w:pStyle w:val="CETBodytext"/>
        <w:jc w:val="center"/>
      </w:pPr>
      <w:r>
        <w:rPr>
          <w:noProof/>
        </w:rPr>
        <w:drawing>
          <wp:inline distT="0" distB="0" distL="0" distR="0" wp14:anchorId="0D6A4C95" wp14:editId="1FF7B21C">
            <wp:extent cx="7920000" cy="3617652"/>
            <wp:effectExtent l="0" t="1588" r="3493" b="3492"/>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3"/>
                    <a:stretch>
                      <a:fillRect/>
                    </a:stretch>
                  </pic:blipFill>
                  <pic:spPr>
                    <a:xfrm rot="16200000">
                      <a:off x="0" y="0"/>
                      <a:ext cx="7920000" cy="3617652"/>
                    </a:xfrm>
                    <a:prstGeom prst="rect">
                      <a:avLst/>
                    </a:prstGeom>
                  </pic:spPr>
                </pic:pic>
              </a:graphicData>
            </a:graphic>
          </wp:inline>
        </w:drawing>
      </w:r>
    </w:p>
    <w:p w14:paraId="0829A955" w14:textId="04593D05" w:rsidR="00EA045D" w:rsidRDefault="00E92672" w:rsidP="00453E24">
      <w:pPr>
        <w:pStyle w:val="CETBodytext"/>
      </w:pPr>
      <w:r w:rsidRPr="00E92672">
        <w:rPr>
          <w:rStyle w:val="CETCaptionCarattere"/>
          <w:iCs/>
        </w:rPr>
        <w:lastRenderedPageBreak/>
        <w:t xml:space="preserve">Figure 1. </w:t>
      </w:r>
      <w:r w:rsidR="00E91777">
        <w:rPr>
          <w:rStyle w:val="CETCaptionCarattere"/>
          <w:iCs/>
        </w:rPr>
        <w:t>Process flow</w:t>
      </w:r>
      <w:r w:rsidR="00E91777" w:rsidRPr="00E92672">
        <w:rPr>
          <w:rStyle w:val="CETCaptionCarattere"/>
          <w:iCs/>
        </w:rPr>
        <w:t xml:space="preserve"> </w:t>
      </w:r>
      <w:r w:rsidRPr="00E92672">
        <w:rPr>
          <w:rStyle w:val="CETCaptionCarattere"/>
          <w:iCs/>
        </w:rPr>
        <w:t>diagram of the pilot plant for FT synthesis and H</w:t>
      </w:r>
      <w:r w:rsidRPr="009E2690">
        <w:rPr>
          <w:rStyle w:val="CETCaptionCarattere"/>
          <w:iCs/>
          <w:vertAlign w:val="subscript"/>
        </w:rPr>
        <w:t>2</w:t>
      </w:r>
      <w:r w:rsidRPr="00E92672">
        <w:rPr>
          <w:rStyle w:val="CETCaptionCarattere"/>
          <w:iCs/>
        </w:rPr>
        <w:t xml:space="preserve"> production by low temperature electrolysis</w:t>
      </w:r>
    </w:p>
    <w:p w14:paraId="7AEBBBCE" w14:textId="77777777" w:rsidR="00EA045D" w:rsidRDefault="00EA045D" w:rsidP="00453E24">
      <w:pPr>
        <w:pStyle w:val="CETBodytext"/>
      </w:pPr>
    </w:p>
    <w:p w14:paraId="74FED9D0" w14:textId="64835B2A" w:rsidR="00D8472D" w:rsidRDefault="00E92672" w:rsidP="00E92672">
      <w:pPr>
        <w:pStyle w:val="CETHeading1"/>
      </w:pPr>
      <w:r w:rsidRPr="00E92672">
        <w:t>Mass and energy balances</w:t>
      </w:r>
    </w:p>
    <w:p w14:paraId="36F4B2FD" w14:textId="77777777" w:rsidR="00E92672" w:rsidRDefault="00E92672" w:rsidP="00D8472D">
      <w:pPr>
        <w:pStyle w:val="CETBodytext"/>
        <w:rPr>
          <w:lang w:val="en-GB"/>
        </w:rPr>
      </w:pPr>
    </w:p>
    <w:p w14:paraId="3B9DBD18" w14:textId="07412127" w:rsidR="00D8472D" w:rsidRDefault="00E92672" w:rsidP="000F430E">
      <w:pPr>
        <w:pStyle w:val="CETBodytext"/>
        <w:spacing w:line="276" w:lineRule="auto"/>
      </w:pPr>
      <w:r>
        <w:t xml:space="preserve">Starting from </w:t>
      </w:r>
      <w:r w:rsidRPr="00E92672">
        <w:t xml:space="preserve">the thermal balance of the </w:t>
      </w:r>
      <w:r w:rsidR="00AB4905">
        <w:t>most</w:t>
      </w:r>
      <w:r w:rsidR="00AB4905" w:rsidRPr="00E92672">
        <w:t xml:space="preserve"> </w:t>
      </w:r>
      <w:r w:rsidRPr="00E92672">
        <w:t xml:space="preserve">efficient plant </w:t>
      </w:r>
      <w:r w:rsidR="00AB4905">
        <w:t>investigated</w:t>
      </w:r>
      <w:r w:rsidRPr="00E92672">
        <w:t xml:space="preserve">, it </w:t>
      </w:r>
      <w:r w:rsidR="00C55236">
        <w:t>was</w:t>
      </w:r>
      <w:r w:rsidR="00C55236" w:rsidRPr="00E92672">
        <w:t xml:space="preserve"> </w:t>
      </w:r>
      <w:r w:rsidRPr="00E92672">
        <w:t xml:space="preserve">observed that the electrical balance of the pilot plant is dominated by the consumption of electricity required by the </w:t>
      </w:r>
      <w:proofErr w:type="spellStart"/>
      <w:r w:rsidRPr="00E92672">
        <w:t>electrolyser</w:t>
      </w:r>
      <w:proofErr w:type="spellEnd"/>
      <w:r w:rsidRPr="00E92672">
        <w:t xml:space="preserve"> (approximately 94% of the total electricity consumption), followed by heating the RWGS reactor (3.6% of total consumption) and compression of CO</w:t>
      </w:r>
      <w:r w:rsidRPr="009E2690">
        <w:rPr>
          <w:vertAlign w:val="subscript"/>
        </w:rPr>
        <w:t>2</w:t>
      </w:r>
      <w:r w:rsidRPr="00E92672">
        <w:t xml:space="preserve"> (2.3% of total consumption) (Figure 2).</w:t>
      </w:r>
    </w:p>
    <w:p w14:paraId="68A1863E" w14:textId="77777777" w:rsidR="00015934" w:rsidRDefault="00015934" w:rsidP="000F430E">
      <w:pPr>
        <w:pStyle w:val="CETBodytext"/>
        <w:spacing w:line="276" w:lineRule="auto"/>
        <w:rPr>
          <w:sz w:val="22"/>
          <w:szCs w:val="22"/>
        </w:rPr>
      </w:pPr>
    </w:p>
    <w:p w14:paraId="25E8DFF4" w14:textId="0F5DFFFA" w:rsidR="00D8472D" w:rsidRDefault="00D15A6F" w:rsidP="00D8472D">
      <w:pPr>
        <w:pStyle w:val="CETBodytext"/>
        <w:jc w:val="center"/>
        <w:rPr>
          <w:sz w:val="22"/>
          <w:szCs w:val="22"/>
        </w:rPr>
      </w:pPr>
      <w:r>
        <w:rPr>
          <w:noProof/>
          <w:sz w:val="22"/>
          <w:szCs w:val="22"/>
        </w:rPr>
        <w:drawing>
          <wp:inline distT="0" distB="0" distL="0" distR="0" wp14:anchorId="2431C6A1" wp14:editId="0A0328CA">
            <wp:extent cx="3600000" cy="2997357"/>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4"/>
                    <a:stretch>
                      <a:fillRect/>
                    </a:stretch>
                  </pic:blipFill>
                  <pic:spPr>
                    <a:xfrm>
                      <a:off x="0" y="0"/>
                      <a:ext cx="3600000" cy="2997357"/>
                    </a:xfrm>
                    <a:prstGeom prst="rect">
                      <a:avLst/>
                    </a:prstGeom>
                  </pic:spPr>
                </pic:pic>
              </a:graphicData>
            </a:graphic>
          </wp:inline>
        </w:drawing>
      </w:r>
    </w:p>
    <w:p w14:paraId="6D429CE3" w14:textId="16C3515A" w:rsidR="00D8472D" w:rsidRPr="00D8472D" w:rsidRDefault="00E92672" w:rsidP="00D8472D">
      <w:pPr>
        <w:pStyle w:val="CETBodytext"/>
        <w:jc w:val="center"/>
        <w:rPr>
          <w:rStyle w:val="CETCaptionCarattere"/>
          <w:iCs/>
        </w:rPr>
      </w:pPr>
      <w:r w:rsidRPr="00E92672">
        <w:rPr>
          <w:rStyle w:val="CETCaptionCarattere"/>
          <w:iCs/>
        </w:rPr>
        <w:t>Figure 2. Breakdown of the overall electricity consumption of the pilot plant</w:t>
      </w:r>
    </w:p>
    <w:p w14:paraId="5FBC8239" w14:textId="77777777" w:rsidR="00D8472D" w:rsidRDefault="00D8472D" w:rsidP="00D8472D">
      <w:pPr>
        <w:pStyle w:val="CETBodytext"/>
        <w:rPr>
          <w:sz w:val="22"/>
          <w:szCs w:val="22"/>
        </w:rPr>
      </w:pPr>
    </w:p>
    <w:p w14:paraId="53CB00E7" w14:textId="3BB3EB9A" w:rsidR="00D8472D" w:rsidRPr="009E2690" w:rsidRDefault="0029047D" w:rsidP="000F430E">
      <w:pPr>
        <w:pStyle w:val="Default"/>
        <w:spacing w:line="276" w:lineRule="auto"/>
        <w:jc w:val="both"/>
        <w:rPr>
          <w:rFonts w:ascii="Arial" w:eastAsia="Times New Roman" w:hAnsi="Arial" w:cs="Times New Roman"/>
          <w:color w:val="auto"/>
          <w:sz w:val="18"/>
          <w:szCs w:val="20"/>
          <w:lang w:val="en-US"/>
        </w:rPr>
      </w:pPr>
      <w:r>
        <w:rPr>
          <w:rFonts w:ascii="Arial" w:eastAsia="Times New Roman" w:hAnsi="Arial" w:cs="Times New Roman"/>
          <w:color w:val="auto"/>
          <w:sz w:val="18"/>
          <w:szCs w:val="20"/>
          <w:lang w:val="en-US"/>
        </w:rPr>
        <w:t>In order to</w:t>
      </w:r>
      <w:r w:rsidR="00E92672" w:rsidRPr="009E2690">
        <w:rPr>
          <w:rFonts w:ascii="Arial" w:eastAsia="Times New Roman" w:hAnsi="Arial" w:cs="Times New Roman"/>
          <w:color w:val="auto"/>
          <w:sz w:val="18"/>
          <w:szCs w:val="20"/>
          <w:lang w:val="en-US"/>
        </w:rPr>
        <w:t xml:space="preserve"> maximize the plant output in terms of </w:t>
      </w:r>
      <w:proofErr w:type="spellStart"/>
      <w:r w:rsidR="00E92672" w:rsidRPr="009E2690">
        <w:rPr>
          <w:rFonts w:ascii="Arial" w:eastAsia="Times New Roman" w:hAnsi="Arial" w:cs="Times New Roman"/>
          <w:color w:val="auto"/>
          <w:sz w:val="18"/>
          <w:szCs w:val="20"/>
          <w:lang w:val="en-US"/>
        </w:rPr>
        <w:t>syncrude</w:t>
      </w:r>
      <w:proofErr w:type="spellEnd"/>
      <w:r w:rsidR="00E92672" w:rsidRPr="009E2690">
        <w:rPr>
          <w:rFonts w:ascii="Arial" w:eastAsia="Times New Roman" w:hAnsi="Arial" w:cs="Times New Roman"/>
          <w:color w:val="auto"/>
          <w:sz w:val="18"/>
          <w:szCs w:val="20"/>
          <w:lang w:val="en-US"/>
        </w:rPr>
        <w:t xml:space="preserve"> production and</w:t>
      </w:r>
      <w:r w:rsidR="009E2690" w:rsidRPr="009E2690">
        <w:rPr>
          <w:rFonts w:ascii="Arial" w:eastAsia="Times New Roman" w:hAnsi="Arial" w:cs="Times New Roman"/>
          <w:color w:val="auto"/>
          <w:sz w:val="18"/>
          <w:szCs w:val="20"/>
          <w:lang w:val="en-US"/>
        </w:rPr>
        <w:t>,</w:t>
      </w:r>
      <w:r w:rsidR="00E92672" w:rsidRPr="009E2690">
        <w:rPr>
          <w:rFonts w:ascii="Arial" w:eastAsia="Times New Roman" w:hAnsi="Arial" w:cs="Times New Roman"/>
          <w:color w:val="auto"/>
          <w:sz w:val="18"/>
          <w:szCs w:val="20"/>
          <w:lang w:val="en-US"/>
        </w:rPr>
        <w:t xml:space="preserve"> at the same time</w:t>
      </w:r>
      <w:r w:rsidR="009E2690" w:rsidRPr="009E2690">
        <w:rPr>
          <w:rFonts w:ascii="Arial" w:eastAsia="Times New Roman" w:hAnsi="Arial" w:cs="Times New Roman"/>
          <w:color w:val="auto"/>
          <w:sz w:val="18"/>
          <w:szCs w:val="20"/>
          <w:lang w:val="en-US"/>
        </w:rPr>
        <w:t>,</w:t>
      </w:r>
      <w:r w:rsidR="00E92672" w:rsidRPr="009E2690">
        <w:rPr>
          <w:rFonts w:ascii="Arial" w:eastAsia="Times New Roman" w:hAnsi="Arial" w:cs="Times New Roman"/>
          <w:color w:val="auto"/>
          <w:sz w:val="18"/>
          <w:szCs w:val="20"/>
          <w:lang w:val="en-US"/>
        </w:rPr>
        <w:t xml:space="preserve"> to reduce specific consumption of H</w:t>
      </w:r>
      <w:r w:rsidR="00E92672" w:rsidRPr="009E2690">
        <w:rPr>
          <w:rFonts w:ascii="Arial" w:eastAsia="Times New Roman" w:hAnsi="Arial" w:cs="Times New Roman"/>
          <w:color w:val="auto"/>
          <w:sz w:val="18"/>
          <w:szCs w:val="20"/>
          <w:vertAlign w:val="subscript"/>
          <w:lang w:val="en-US"/>
        </w:rPr>
        <w:t>2</w:t>
      </w:r>
      <w:r w:rsidR="00E92672" w:rsidRPr="009E2690">
        <w:rPr>
          <w:rFonts w:ascii="Arial" w:eastAsia="Times New Roman" w:hAnsi="Arial" w:cs="Times New Roman"/>
          <w:color w:val="auto"/>
          <w:sz w:val="18"/>
          <w:szCs w:val="20"/>
          <w:lang w:val="en-US"/>
        </w:rPr>
        <w:t xml:space="preserve"> and CO</w:t>
      </w:r>
      <w:r w:rsidR="00E92672" w:rsidRPr="009E2690">
        <w:rPr>
          <w:rFonts w:ascii="Arial" w:eastAsia="Times New Roman" w:hAnsi="Arial" w:cs="Times New Roman"/>
          <w:color w:val="auto"/>
          <w:sz w:val="18"/>
          <w:szCs w:val="20"/>
          <w:vertAlign w:val="subscript"/>
          <w:lang w:val="en-US"/>
        </w:rPr>
        <w:t>2</w:t>
      </w:r>
      <w:r>
        <w:rPr>
          <w:rFonts w:ascii="Arial" w:eastAsia="Times New Roman" w:hAnsi="Arial" w:cs="Times New Roman"/>
          <w:color w:val="auto"/>
          <w:sz w:val="18"/>
          <w:szCs w:val="20"/>
          <w:vertAlign w:val="subscript"/>
          <w:lang w:val="en-US"/>
        </w:rPr>
        <w:t xml:space="preserve">, </w:t>
      </w:r>
      <w:r w:rsidR="00E92672" w:rsidRPr="009E2690">
        <w:rPr>
          <w:rFonts w:ascii="Arial" w:eastAsia="Times New Roman" w:hAnsi="Arial" w:cs="Times New Roman"/>
          <w:color w:val="auto"/>
          <w:sz w:val="18"/>
          <w:szCs w:val="20"/>
          <w:lang w:val="en-US"/>
        </w:rPr>
        <w:t>the preliminary economic analysis was conducted on the most performing</w:t>
      </w:r>
      <w:r w:rsidR="009E2690">
        <w:rPr>
          <w:rFonts w:ascii="Arial" w:eastAsia="Times New Roman" w:hAnsi="Arial" w:cs="Times New Roman"/>
          <w:color w:val="auto"/>
          <w:sz w:val="18"/>
          <w:szCs w:val="20"/>
          <w:lang w:val="en-US"/>
        </w:rPr>
        <w:t xml:space="preserve"> </w:t>
      </w:r>
      <w:r w:rsidR="009E2690" w:rsidRPr="009E2690">
        <w:rPr>
          <w:rFonts w:ascii="Arial" w:eastAsia="Times New Roman" w:hAnsi="Arial" w:cs="Times New Roman"/>
          <w:color w:val="auto"/>
          <w:sz w:val="18"/>
          <w:szCs w:val="20"/>
          <w:lang w:val="en-US"/>
        </w:rPr>
        <w:t>system considered</w:t>
      </w:r>
      <w:r w:rsidR="00E92672" w:rsidRPr="009E2690">
        <w:rPr>
          <w:rFonts w:ascii="Arial" w:eastAsia="Times New Roman" w:hAnsi="Arial" w:cs="Times New Roman"/>
          <w:color w:val="auto"/>
          <w:sz w:val="18"/>
          <w:szCs w:val="20"/>
          <w:lang w:val="en-US"/>
        </w:rPr>
        <w:t>.</w:t>
      </w:r>
      <w:r w:rsidR="00026164">
        <w:rPr>
          <w:rFonts w:ascii="Arial" w:eastAsia="Times New Roman" w:hAnsi="Arial" w:cs="Times New Roman"/>
          <w:color w:val="auto"/>
          <w:sz w:val="18"/>
          <w:szCs w:val="20"/>
          <w:lang w:val="en-US"/>
        </w:rPr>
        <w:t xml:space="preserve"> T</w:t>
      </w:r>
      <w:r w:rsidR="00026164" w:rsidRPr="00026164">
        <w:rPr>
          <w:rFonts w:ascii="Arial" w:eastAsia="Times New Roman" w:hAnsi="Arial" w:cs="Times New Roman"/>
          <w:color w:val="auto"/>
          <w:sz w:val="18"/>
          <w:szCs w:val="20"/>
          <w:lang w:val="en-US"/>
        </w:rPr>
        <w:t xml:space="preserve">he size assumed for the pilot plant is approximately </w:t>
      </w:r>
      <w:r w:rsidR="00986629">
        <w:rPr>
          <w:rFonts w:ascii="Arial" w:eastAsia="Times New Roman" w:hAnsi="Arial" w:cs="Times New Roman"/>
          <w:color w:val="auto"/>
          <w:sz w:val="18"/>
          <w:szCs w:val="20"/>
          <w:lang w:val="en-US"/>
        </w:rPr>
        <w:t>5/6</w:t>
      </w:r>
      <w:r w:rsidR="00026164" w:rsidRPr="00026164">
        <w:rPr>
          <w:rFonts w:ascii="Arial" w:eastAsia="Times New Roman" w:hAnsi="Arial" w:cs="Times New Roman"/>
          <w:color w:val="auto"/>
          <w:sz w:val="18"/>
          <w:szCs w:val="20"/>
          <w:lang w:val="en-US"/>
        </w:rPr>
        <w:t xml:space="preserve"> barrels / day</w:t>
      </w:r>
      <w:r w:rsidR="00986629">
        <w:rPr>
          <w:rFonts w:ascii="Arial" w:eastAsia="Times New Roman" w:hAnsi="Arial" w:cs="Times New Roman"/>
          <w:color w:val="auto"/>
          <w:sz w:val="18"/>
          <w:szCs w:val="20"/>
          <w:lang w:val="en-US"/>
        </w:rPr>
        <w:t>.</w:t>
      </w:r>
    </w:p>
    <w:p w14:paraId="68D26B83" w14:textId="53ABA992" w:rsidR="00600535" w:rsidRDefault="00E92672" w:rsidP="00600535">
      <w:pPr>
        <w:pStyle w:val="CETHeading1"/>
        <w:rPr>
          <w:lang w:val="en-GB"/>
        </w:rPr>
      </w:pPr>
      <w:r w:rsidRPr="00E92672">
        <w:rPr>
          <w:lang w:val="en-GB"/>
        </w:rPr>
        <w:t>Preliminary economic analysis</w:t>
      </w:r>
    </w:p>
    <w:p w14:paraId="0C405B63" w14:textId="74B005CF" w:rsidR="00E92672" w:rsidRPr="00E92672" w:rsidRDefault="0029047D" w:rsidP="000F430E">
      <w:pPr>
        <w:pStyle w:val="Default"/>
        <w:spacing w:line="276" w:lineRule="auto"/>
        <w:jc w:val="both"/>
        <w:rPr>
          <w:rFonts w:ascii="Arial" w:eastAsia="Times New Roman" w:hAnsi="Arial" w:cs="Times New Roman"/>
          <w:color w:val="auto"/>
          <w:sz w:val="18"/>
          <w:szCs w:val="20"/>
          <w:lang w:val="en-US"/>
        </w:rPr>
      </w:pPr>
      <w:r>
        <w:rPr>
          <w:rFonts w:ascii="Arial" w:eastAsia="Times New Roman" w:hAnsi="Arial" w:cs="Times New Roman"/>
          <w:color w:val="auto"/>
          <w:sz w:val="18"/>
          <w:szCs w:val="20"/>
          <w:lang w:val="en-US"/>
        </w:rPr>
        <w:t>For</w:t>
      </w:r>
      <w:r w:rsidRPr="00E92672">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xml:space="preserve">the calculation of the investment costs, the cost functions for coolers, electrical heating of the RWGS reactor, MDEA separation system and RWGS reactor </w:t>
      </w:r>
      <w:r>
        <w:rPr>
          <w:rFonts w:ascii="Arial" w:eastAsia="Times New Roman" w:hAnsi="Arial" w:cs="Times New Roman"/>
          <w:color w:val="auto"/>
          <w:sz w:val="18"/>
          <w:szCs w:val="20"/>
          <w:lang w:val="en-US"/>
        </w:rPr>
        <w:t>were</w:t>
      </w:r>
      <w:r w:rsidRPr="00E92672">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obtained respectively from Riva et al. (2018), Sternberg et al. (2015), IEAGHG (2017) and Zang et al. (2021).</w:t>
      </w:r>
    </w:p>
    <w:p w14:paraId="1BFEA87A" w14:textId="5335F838" w:rsidR="00E92672" w:rsidRPr="00E92672" w:rsidRDefault="00AB4905" w:rsidP="000F430E">
      <w:pPr>
        <w:pStyle w:val="Default"/>
        <w:spacing w:line="276" w:lineRule="auto"/>
        <w:jc w:val="both"/>
        <w:rPr>
          <w:rFonts w:ascii="Arial" w:eastAsia="Times New Roman" w:hAnsi="Arial" w:cs="Times New Roman"/>
          <w:color w:val="auto"/>
          <w:sz w:val="18"/>
          <w:szCs w:val="20"/>
          <w:lang w:val="en-US"/>
        </w:rPr>
      </w:pPr>
      <w:r>
        <w:rPr>
          <w:rFonts w:ascii="Arial" w:eastAsia="Times New Roman" w:hAnsi="Arial" w:cs="Times New Roman"/>
          <w:color w:val="auto"/>
          <w:sz w:val="18"/>
          <w:szCs w:val="20"/>
          <w:lang w:val="en-US"/>
        </w:rPr>
        <w:t>T</w:t>
      </w:r>
      <w:r w:rsidR="00E92672" w:rsidRPr="00E92672">
        <w:rPr>
          <w:rFonts w:ascii="Arial" w:eastAsia="Times New Roman" w:hAnsi="Arial" w:cs="Times New Roman"/>
          <w:color w:val="auto"/>
          <w:sz w:val="18"/>
          <w:szCs w:val="20"/>
          <w:lang w:val="en-US"/>
        </w:rPr>
        <w:t xml:space="preserve">he </w:t>
      </w:r>
      <w:r w:rsidR="009E2690">
        <w:rPr>
          <w:rFonts w:ascii="Arial" w:eastAsia="Times New Roman" w:hAnsi="Arial" w:cs="Times New Roman"/>
          <w:color w:val="auto"/>
          <w:sz w:val="18"/>
          <w:szCs w:val="20"/>
          <w:lang w:val="en-US"/>
        </w:rPr>
        <w:t xml:space="preserve">studied </w:t>
      </w:r>
      <w:r w:rsidR="00E92672" w:rsidRPr="00E92672">
        <w:rPr>
          <w:rFonts w:ascii="Arial" w:eastAsia="Times New Roman" w:hAnsi="Arial" w:cs="Times New Roman"/>
          <w:color w:val="auto"/>
          <w:sz w:val="18"/>
          <w:szCs w:val="20"/>
          <w:lang w:val="en-US"/>
        </w:rPr>
        <w:t>plant is characterized by a significant electricity</w:t>
      </w:r>
      <w:r>
        <w:rPr>
          <w:rFonts w:ascii="Arial" w:eastAsia="Times New Roman" w:hAnsi="Arial" w:cs="Times New Roman"/>
          <w:color w:val="auto"/>
          <w:sz w:val="18"/>
          <w:szCs w:val="20"/>
          <w:lang w:val="en-US"/>
        </w:rPr>
        <w:t xml:space="preserve"> </w:t>
      </w:r>
      <w:r w:rsidRPr="00E92672">
        <w:rPr>
          <w:rFonts w:ascii="Arial" w:eastAsia="Times New Roman" w:hAnsi="Arial" w:cs="Times New Roman"/>
          <w:color w:val="auto"/>
          <w:sz w:val="18"/>
          <w:szCs w:val="20"/>
          <w:lang w:val="en-US"/>
        </w:rPr>
        <w:t>consumption</w:t>
      </w:r>
      <w:r w:rsidR="00E92672" w:rsidRPr="00E92672">
        <w:rPr>
          <w:rFonts w:ascii="Arial" w:eastAsia="Times New Roman" w:hAnsi="Arial" w:cs="Times New Roman"/>
          <w:color w:val="auto"/>
          <w:sz w:val="18"/>
          <w:szCs w:val="20"/>
          <w:lang w:val="en-US"/>
        </w:rPr>
        <w:t xml:space="preserve">, </w:t>
      </w:r>
      <w:r>
        <w:rPr>
          <w:rFonts w:ascii="Arial" w:eastAsia="Times New Roman" w:hAnsi="Arial" w:cs="Times New Roman"/>
          <w:color w:val="auto"/>
          <w:sz w:val="18"/>
          <w:szCs w:val="20"/>
          <w:lang w:val="en-US"/>
        </w:rPr>
        <w:t xml:space="preserve">mostly related to </w:t>
      </w:r>
      <w:r w:rsidR="00E92672" w:rsidRPr="00E92672">
        <w:rPr>
          <w:rFonts w:ascii="Arial" w:eastAsia="Times New Roman" w:hAnsi="Arial" w:cs="Times New Roman"/>
          <w:color w:val="auto"/>
          <w:sz w:val="18"/>
          <w:szCs w:val="20"/>
          <w:lang w:val="en-US"/>
        </w:rPr>
        <w:t xml:space="preserve">the </w:t>
      </w:r>
      <w:proofErr w:type="spellStart"/>
      <w:r w:rsidR="00E92672" w:rsidRPr="00E92672">
        <w:rPr>
          <w:rFonts w:ascii="Arial" w:eastAsia="Times New Roman" w:hAnsi="Arial" w:cs="Times New Roman"/>
          <w:color w:val="auto"/>
          <w:sz w:val="18"/>
          <w:szCs w:val="20"/>
          <w:lang w:val="en-US"/>
        </w:rPr>
        <w:t>electrolyser</w:t>
      </w:r>
      <w:proofErr w:type="spellEnd"/>
      <w:r>
        <w:rPr>
          <w:rFonts w:ascii="Arial" w:eastAsia="Times New Roman" w:hAnsi="Arial" w:cs="Times New Roman"/>
          <w:color w:val="auto"/>
          <w:sz w:val="18"/>
          <w:szCs w:val="20"/>
          <w:lang w:val="en-US"/>
        </w:rPr>
        <w:t xml:space="preserve">. As a </w:t>
      </w:r>
      <w:r w:rsidR="00015934">
        <w:rPr>
          <w:rFonts w:ascii="Arial" w:eastAsia="Times New Roman" w:hAnsi="Arial" w:cs="Times New Roman"/>
          <w:color w:val="auto"/>
          <w:sz w:val="18"/>
          <w:szCs w:val="20"/>
          <w:lang w:val="en-US"/>
        </w:rPr>
        <w:t>consequence,</w:t>
      </w:r>
      <w:r>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xml:space="preserve">the economic result of the pilot plant was evaluated </w:t>
      </w:r>
      <w:r>
        <w:rPr>
          <w:rFonts w:ascii="Arial" w:eastAsia="Times New Roman" w:hAnsi="Arial" w:cs="Times New Roman"/>
          <w:color w:val="auto"/>
          <w:sz w:val="18"/>
          <w:szCs w:val="20"/>
          <w:lang w:val="en-US"/>
        </w:rPr>
        <w:t xml:space="preserve">considering </w:t>
      </w:r>
      <w:r w:rsidR="00E92672" w:rsidRPr="00E92672">
        <w:rPr>
          <w:rFonts w:ascii="Arial" w:eastAsia="Times New Roman" w:hAnsi="Arial" w:cs="Times New Roman"/>
          <w:color w:val="auto"/>
          <w:sz w:val="18"/>
          <w:szCs w:val="20"/>
          <w:lang w:val="en-US"/>
        </w:rPr>
        <w:t xml:space="preserve">various </w:t>
      </w:r>
      <w:r w:rsidR="00C44032" w:rsidRPr="00E92672">
        <w:rPr>
          <w:rFonts w:ascii="Arial" w:eastAsia="Times New Roman" w:hAnsi="Arial" w:cs="Times New Roman"/>
          <w:color w:val="auto"/>
          <w:sz w:val="18"/>
          <w:szCs w:val="20"/>
          <w:lang w:val="en-US"/>
        </w:rPr>
        <w:t>electricity</w:t>
      </w:r>
      <w:r>
        <w:rPr>
          <w:rFonts w:ascii="Arial" w:eastAsia="Times New Roman" w:hAnsi="Arial" w:cs="Times New Roman"/>
          <w:color w:val="auto"/>
          <w:sz w:val="18"/>
          <w:szCs w:val="20"/>
          <w:lang w:val="en-US"/>
        </w:rPr>
        <w:t xml:space="preserve"> prices</w:t>
      </w:r>
      <w:r w:rsidR="00E92672" w:rsidRPr="00E92672">
        <w:rPr>
          <w:rFonts w:ascii="Arial" w:eastAsia="Times New Roman" w:hAnsi="Arial" w:cs="Times New Roman"/>
          <w:color w:val="auto"/>
          <w:sz w:val="18"/>
          <w:szCs w:val="20"/>
          <w:lang w:val="en-US"/>
        </w:rPr>
        <w:t xml:space="preserve">. In particular, </w:t>
      </w:r>
      <w:r>
        <w:rPr>
          <w:rFonts w:ascii="Arial" w:eastAsia="Times New Roman" w:hAnsi="Arial" w:cs="Times New Roman"/>
          <w:color w:val="auto"/>
          <w:sz w:val="18"/>
          <w:szCs w:val="20"/>
          <w:lang w:val="en-US"/>
        </w:rPr>
        <w:t xml:space="preserve">the </w:t>
      </w:r>
      <w:r w:rsidR="00E92672" w:rsidRPr="00E92672">
        <w:rPr>
          <w:rFonts w:ascii="Arial" w:eastAsia="Times New Roman" w:hAnsi="Arial" w:cs="Times New Roman"/>
          <w:color w:val="auto"/>
          <w:sz w:val="18"/>
          <w:szCs w:val="20"/>
          <w:lang w:val="en-US"/>
        </w:rPr>
        <w:t xml:space="preserve">electricity </w:t>
      </w:r>
      <w:r>
        <w:rPr>
          <w:rFonts w:ascii="Arial" w:eastAsia="Times New Roman" w:hAnsi="Arial" w:cs="Times New Roman"/>
          <w:color w:val="auto"/>
          <w:sz w:val="18"/>
          <w:szCs w:val="20"/>
          <w:lang w:val="en-US"/>
        </w:rPr>
        <w:t>prices were</w:t>
      </w:r>
      <w:r w:rsidRPr="00E92672">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xml:space="preserve">set at 60 </w:t>
      </w:r>
      <w:r w:rsidR="00C82D4D">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xml:space="preserve">/ MWh, 100 </w:t>
      </w:r>
      <w:r w:rsidR="00C82D4D">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xml:space="preserve">/ MWh and 150 </w:t>
      </w:r>
      <w:r w:rsidR="00C82D4D">
        <w:rPr>
          <w:rFonts w:ascii="Arial" w:eastAsia="Times New Roman" w:hAnsi="Arial" w:cs="Times New Roman"/>
          <w:color w:val="auto"/>
          <w:sz w:val="18"/>
          <w:szCs w:val="20"/>
          <w:lang w:val="en-US"/>
        </w:rPr>
        <w:t xml:space="preserve">€ </w:t>
      </w:r>
      <w:r w:rsidR="00E92672" w:rsidRPr="00E92672">
        <w:rPr>
          <w:rFonts w:ascii="Arial" w:eastAsia="Times New Roman" w:hAnsi="Arial" w:cs="Times New Roman"/>
          <w:color w:val="auto"/>
          <w:sz w:val="18"/>
          <w:szCs w:val="20"/>
          <w:lang w:val="en-US"/>
        </w:rPr>
        <w:t>/ MWh.</w:t>
      </w:r>
    </w:p>
    <w:p w14:paraId="7317747B" w14:textId="4A2F8387" w:rsidR="000132EC" w:rsidRDefault="00E92672" w:rsidP="000F430E">
      <w:pPr>
        <w:pStyle w:val="Default"/>
        <w:spacing w:line="276" w:lineRule="auto"/>
        <w:jc w:val="both"/>
        <w:rPr>
          <w:rFonts w:ascii="Arial" w:eastAsia="Times New Roman" w:hAnsi="Arial" w:cs="Times New Roman"/>
          <w:color w:val="auto"/>
          <w:sz w:val="18"/>
          <w:szCs w:val="20"/>
          <w:lang w:val="en-US"/>
        </w:rPr>
      </w:pPr>
      <w:r w:rsidRPr="00E92672">
        <w:rPr>
          <w:rFonts w:ascii="Arial" w:eastAsia="Times New Roman" w:hAnsi="Arial" w:cs="Times New Roman"/>
          <w:color w:val="auto"/>
          <w:sz w:val="18"/>
          <w:szCs w:val="20"/>
          <w:lang w:val="en-US"/>
        </w:rPr>
        <w:t xml:space="preserve">Going from the assumed minimum (60 € / MWh) to the maximum </w:t>
      </w:r>
      <w:r w:rsidR="00AB4905">
        <w:rPr>
          <w:rFonts w:ascii="Arial" w:eastAsia="Times New Roman" w:hAnsi="Arial" w:cs="Times New Roman"/>
          <w:color w:val="auto"/>
          <w:sz w:val="18"/>
          <w:szCs w:val="20"/>
          <w:lang w:val="en-US"/>
        </w:rPr>
        <w:t>price</w:t>
      </w:r>
      <w:r w:rsidR="00AB4905" w:rsidRPr="00E92672">
        <w:rPr>
          <w:rFonts w:ascii="Arial" w:eastAsia="Times New Roman" w:hAnsi="Arial" w:cs="Times New Roman"/>
          <w:color w:val="auto"/>
          <w:sz w:val="18"/>
          <w:szCs w:val="20"/>
          <w:lang w:val="en-US"/>
        </w:rPr>
        <w:t xml:space="preserve"> </w:t>
      </w:r>
      <w:r w:rsidRPr="00E92672">
        <w:rPr>
          <w:rFonts w:ascii="Arial" w:eastAsia="Times New Roman" w:hAnsi="Arial" w:cs="Times New Roman"/>
          <w:color w:val="auto"/>
          <w:sz w:val="18"/>
          <w:szCs w:val="20"/>
          <w:lang w:val="en-US"/>
        </w:rPr>
        <w:t>(150 € / MWh), there is an increase in variable operating costs from about 1500 € / day to almost 3700 € / day (+ 131%, Figure 3) and an increase of the total cost from approximately € 3.31 million to almost € 4.18 million (+ 26%, Figure 4).</w:t>
      </w:r>
    </w:p>
    <w:p w14:paraId="55A09DEE" w14:textId="090C215E" w:rsidR="000132EC" w:rsidRDefault="00D15A6F" w:rsidP="000132EC">
      <w:pPr>
        <w:pStyle w:val="Default"/>
        <w:jc w:val="center"/>
        <w:rPr>
          <w:rFonts w:ascii="Arial" w:eastAsia="Times New Roman" w:hAnsi="Arial" w:cs="Times New Roman"/>
          <w:color w:val="auto"/>
          <w:sz w:val="18"/>
          <w:szCs w:val="20"/>
          <w:lang w:val="en-US"/>
        </w:rPr>
      </w:pPr>
      <w:r>
        <w:rPr>
          <w:rFonts w:ascii="Arial" w:eastAsia="Times New Roman" w:hAnsi="Arial" w:cs="Times New Roman"/>
          <w:noProof/>
          <w:color w:val="auto"/>
          <w:sz w:val="18"/>
          <w:szCs w:val="20"/>
          <w:lang w:val="en-US"/>
        </w:rPr>
        <w:lastRenderedPageBreak/>
        <w:drawing>
          <wp:inline distT="0" distB="0" distL="0" distR="0" wp14:anchorId="3168CB0C" wp14:editId="2569AF52">
            <wp:extent cx="4320000" cy="2885088"/>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5"/>
                    <a:stretch>
                      <a:fillRect/>
                    </a:stretch>
                  </pic:blipFill>
                  <pic:spPr>
                    <a:xfrm>
                      <a:off x="0" y="0"/>
                      <a:ext cx="4320000" cy="2885088"/>
                    </a:xfrm>
                    <a:prstGeom prst="rect">
                      <a:avLst/>
                    </a:prstGeom>
                  </pic:spPr>
                </pic:pic>
              </a:graphicData>
            </a:graphic>
          </wp:inline>
        </w:drawing>
      </w:r>
    </w:p>
    <w:p w14:paraId="7EFCC2B3" w14:textId="315F7691" w:rsidR="000132EC" w:rsidRPr="000B234F" w:rsidRDefault="00661456" w:rsidP="000132EC">
      <w:pPr>
        <w:pStyle w:val="Default"/>
        <w:jc w:val="center"/>
        <w:rPr>
          <w:rStyle w:val="CETCaptionCarattere"/>
          <w:rFonts w:eastAsiaTheme="minorHAnsi"/>
        </w:rPr>
      </w:pPr>
      <w:r w:rsidRPr="00661456">
        <w:rPr>
          <w:rStyle w:val="CETCaptionCarattere"/>
          <w:rFonts w:eastAsiaTheme="minorHAnsi"/>
          <w:i w:val="0"/>
          <w:color w:val="auto"/>
        </w:rPr>
        <w:t xml:space="preserve">Figure 3. Effect of the change in the electricity </w:t>
      </w:r>
      <w:r w:rsidR="00AB4905">
        <w:rPr>
          <w:rStyle w:val="CETCaptionCarattere"/>
          <w:rFonts w:eastAsiaTheme="minorHAnsi"/>
          <w:i w:val="0"/>
          <w:color w:val="auto"/>
        </w:rPr>
        <w:t xml:space="preserve">prices </w:t>
      </w:r>
      <w:r w:rsidRPr="00661456">
        <w:rPr>
          <w:rStyle w:val="CETCaptionCarattere"/>
          <w:rFonts w:eastAsiaTheme="minorHAnsi"/>
          <w:i w:val="0"/>
          <w:color w:val="auto"/>
        </w:rPr>
        <w:t>(60 € / MWh, 100 € / MWh, 150 € / MWh) on variable operating costs (</w:t>
      </w:r>
      <w:proofErr w:type="spellStart"/>
      <w:r w:rsidRPr="00661456">
        <w:rPr>
          <w:rStyle w:val="CETCaptionCarattere"/>
          <w:rFonts w:eastAsiaTheme="minorHAnsi"/>
          <w:i w:val="0"/>
          <w:color w:val="auto"/>
        </w:rPr>
        <w:t>vOPEX</w:t>
      </w:r>
      <w:proofErr w:type="spellEnd"/>
      <w:r w:rsidRPr="00661456">
        <w:rPr>
          <w:rStyle w:val="CETCaptionCarattere"/>
          <w:rFonts w:eastAsiaTheme="minorHAnsi"/>
          <w:i w:val="0"/>
          <w:color w:val="auto"/>
        </w:rPr>
        <w:t xml:space="preserve"> = variable OPEX)</w:t>
      </w:r>
    </w:p>
    <w:p w14:paraId="702E9AEF" w14:textId="46FAC8F2" w:rsidR="000132EC" w:rsidRDefault="000132EC" w:rsidP="000132EC">
      <w:pPr>
        <w:pStyle w:val="Default"/>
        <w:jc w:val="center"/>
        <w:rPr>
          <w:rFonts w:ascii="Arial" w:eastAsia="Times New Roman" w:hAnsi="Arial" w:cs="Times New Roman"/>
          <w:color w:val="auto"/>
          <w:sz w:val="18"/>
          <w:szCs w:val="20"/>
          <w:lang w:val="en-US"/>
        </w:rPr>
      </w:pPr>
    </w:p>
    <w:p w14:paraId="1DFBCB26" w14:textId="5FAD4579" w:rsidR="000132EC" w:rsidRDefault="000132EC" w:rsidP="000132EC">
      <w:pPr>
        <w:pStyle w:val="Default"/>
        <w:jc w:val="center"/>
        <w:rPr>
          <w:rFonts w:ascii="Arial" w:eastAsia="Times New Roman" w:hAnsi="Arial" w:cs="Times New Roman"/>
          <w:color w:val="auto"/>
          <w:sz w:val="18"/>
          <w:szCs w:val="20"/>
          <w:lang w:val="en-US"/>
        </w:rPr>
      </w:pPr>
    </w:p>
    <w:p w14:paraId="154F168A" w14:textId="16206EF9" w:rsidR="000132EC" w:rsidRDefault="000132EC" w:rsidP="000132EC">
      <w:pPr>
        <w:pStyle w:val="Default"/>
        <w:jc w:val="center"/>
        <w:rPr>
          <w:rFonts w:ascii="Arial" w:eastAsia="Times New Roman" w:hAnsi="Arial" w:cs="Times New Roman"/>
          <w:color w:val="auto"/>
          <w:sz w:val="18"/>
          <w:szCs w:val="20"/>
          <w:lang w:val="en-US"/>
        </w:rPr>
      </w:pPr>
    </w:p>
    <w:p w14:paraId="754DFAD4" w14:textId="13C1F83D" w:rsidR="000132EC" w:rsidRDefault="00D15A6F" w:rsidP="000132EC">
      <w:pPr>
        <w:pStyle w:val="Default"/>
        <w:jc w:val="center"/>
        <w:rPr>
          <w:rFonts w:ascii="Arial" w:eastAsia="Times New Roman" w:hAnsi="Arial" w:cs="Times New Roman"/>
          <w:color w:val="auto"/>
          <w:sz w:val="18"/>
          <w:szCs w:val="20"/>
          <w:lang w:val="en-US"/>
        </w:rPr>
      </w:pPr>
      <w:r>
        <w:rPr>
          <w:rFonts w:ascii="Arial" w:eastAsia="Times New Roman" w:hAnsi="Arial" w:cs="Times New Roman"/>
          <w:noProof/>
          <w:color w:val="auto"/>
          <w:sz w:val="18"/>
          <w:szCs w:val="20"/>
          <w:lang w:val="en-US"/>
        </w:rPr>
        <w:drawing>
          <wp:inline distT="0" distB="0" distL="0" distR="0" wp14:anchorId="135CED17" wp14:editId="5ECD74A1">
            <wp:extent cx="4320000" cy="2879999"/>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6"/>
                    <a:stretch>
                      <a:fillRect/>
                    </a:stretch>
                  </pic:blipFill>
                  <pic:spPr>
                    <a:xfrm>
                      <a:off x="0" y="0"/>
                      <a:ext cx="4320000" cy="2879999"/>
                    </a:xfrm>
                    <a:prstGeom prst="rect">
                      <a:avLst/>
                    </a:prstGeom>
                  </pic:spPr>
                </pic:pic>
              </a:graphicData>
            </a:graphic>
          </wp:inline>
        </w:drawing>
      </w:r>
    </w:p>
    <w:p w14:paraId="67301B9B" w14:textId="36547177" w:rsidR="004D034B" w:rsidRDefault="00661456" w:rsidP="000132EC">
      <w:pPr>
        <w:pStyle w:val="Default"/>
        <w:jc w:val="center"/>
        <w:rPr>
          <w:rStyle w:val="CETCaptionCarattere"/>
          <w:rFonts w:eastAsiaTheme="minorHAnsi"/>
          <w:i w:val="0"/>
          <w:color w:val="auto"/>
        </w:rPr>
      </w:pPr>
      <w:r w:rsidRPr="00661456">
        <w:rPr>
          <w:rStyle w:val="CETCaptionCarattere"/>
          <w:rFonts w:eastAsiaTheme="minorHAnsi"/>
          <w:i w:val="0"/>
          <w:color w:val="auto"/>
        </w:rPr>
        <w:t xml:space="preserve">Figure 4. Effect of the change of electricity </w:t>
      </w:r>
      <w:r w:rsidR="00AB4905">
        <w:rPr>
          <w:rStyle w:val="CETCaptionCarattere"/>
          <w:rFonts w:eastAsiaTheme="minorHAnsi"/>
          <w:i w:val="0"/>
          <w:color w:val="auto"/>
        </w:rPr>
        <w:t xml:space="preserve">prices </w:t>
      </w:r>
      <w:r w:rsidRPr="00661456">
        <w:rPr>
          <w:rStyle w:val="CETCaptionCarattere"/>
          <w:rFonts w:eastAsiaTheme="minorHAnsi"/>
          <w:i w:val="0"/>
          <w:color w:val="auto"/>
        </w:rPr>
        <w:t>(60 € / MWh, 100 € / MWh, 150 € / MWh) on the total cost</w:t>
      </w:r>
    </w:p>
    <w:p w14:paraId="662E0B6E" w14:textId="77777777" w:rsidR="00661456" w:rsidRDefault="00661456" w:rsidP="000132EC">
      <w:pPr>
        <w:pStyle w:val="Default"/>
        <w:jc w:val="center"/>
        <w:rPr>
          <w:rFonts w:ascii="Arial" w:eastAsia="Times New Roman" w:hAnsi="Arial" w:cs="Times New Roman"/>
          <w:color w:val="auto"/>
          <w:sz w:val="18"/>
          <w:szCs w:val="20"/>
          <w:lang w:val="en-US"/>
        </w:rPr>
      </w:pPr>
    </w:p>
    <w:p w14:paraId="204F006A" w14:textId="77777777" w:rsidR="000132EC" w:rsidRDefault="000132EC" w:rsidP="000132EC">
      <w:pPr>
        <w:pStyle w:val="Default"/>
        <w:jc w:val="both"/>
        <w:rPr>
          <w:rFonts w:ascii="Arial" w:eastAsia="Times New Roman" w:hAnsi="Arial" w:cs="Times New Roman"/>
          <w:color w:val="auto"/>
          <w:sz w:val="18"/>
          <w:szCs w:val="20"/>
          <w:lang w:val="en-US"/>
        </w:rPr>
      </w:pPr>
    </w:p>
    <w:p w14:paraId="26BAA195" w14:textId="624A4E2D" w:rsidR="000132EC" w:rsidRPr="000132EC" w:rsidRDefault="00661456" w:rsidP="000F430E">
      <w:pPr>
        <w:pStyle w:val="Default"/>
        <w:spacing w:line="276" w:lineRule="auto"/>
        <w:jc w:val="both"/>
        <w:rPr>
          <w:rFonts w:ascii="Arial" w:eastAsia="Times New Roman" w:hAnsi="Arial" w:cs="Times New Roman"/>
          <w:color w:val="auto"/>
          <w:sz w:val="18"/>
          <w:szCs w:val="20"/>
          <w:lang w:val="en-US"/>
        </w:rPr>
      </w:pPr>
      <w:r>
        <w:rPr>
          <w:rFonts w:ascii="Arial" w:eastAsia="Times New Roman" w:hAnsi="Arial" w:cs="Times New Roman"/>
          <w:color w:val="auto"/>
          <w:sz w:val="18"/>
          <w:szCs w:val="20"/>
          <w:lang w:val="en-US"/>
        </w:rPr>
        <w:t>T</w:t>
      </w:r>
      <w:r w:rsidRPr="00661456">
        <w:rPr>
          <w:rFonts w:ascii="Arial" w:eastAsia="Times New Roman" w:hAnsi="Arial" w:cs="Times New Roman"/>
          <w:color w:val="auto"/>
          <w:sz w:val="18"/>
          <w:szCs w:val="20"/>
          <w:lang w:val="en-US"/>
        </w:rPr>
        <w:t xml:space="preserve">hese </w:t>
      </w:r>
      <w:r w:rsidR="000F430E">
        <w:rPr>
          <w:rFonts w:ascii="Arial" w:eastAsia="Times New Roman" w:hAnsi="Arial" w:cs="Times New Roman"/>
          <w:color w:val="auto"/>
          <w:sz w:val="18"/>
          <w:szCs w:val="20"/>
          <w:lang w:val="en-US"/>
        </w:rPr>
        <w:t>assumption</w:t>
      </w:r>
      <w:r w:rsidR="000F430E" w:rsidRPr="00661456">
        <w:rPr>
          <w:rFonts w:ascii="Arial" w:eastAsia="Times New Roman" w:hAnsi="Arial" w:cs="Times New Roman"/>
          <w:color w:val="auto"/>
          <w:sz w:val="18"/>
          <w:szCs w:val="20"/>
          <w:lang w:val="en-US"/>
        </w:rPr>
        <w:t>s</w:t>
      </w:r>
      <w:r w:rsidRPr="00661456">
        <w:rPr>
          <w:rFonts w:ascii="Arial" w:eastAsia="Times New Roman" w:hAnsi="Arial" w:cs="Times New Roman"/>
          <w:color w:val="auto"/>
          <w:sz w:val="18"/>
          <w:szCs w:val="20"/>
          <w:lang w:val="en-US"/>
        </w:rPr>
        <w:t xml:space="preserve"> did not take into account the tensions on energy prices resulting from the current situation</w:t>
      </w:r>
      <w:r>
        <w:rPr>
          <w:rFonts w:ascii="Arial" w:eastAsia="Times New Roman" w:hAnsi="Arial" w:cs="Times New Roman"/>
          <w:color w:val="auto"/>
          <w:sz w:val="18"/>
          <w:szCs w:val="20"/>
          <w:lang w:val="en-US"/>
        </w:rPr>
        <w:t xml:space="preserve"> in Europe</w:t>
      </w:r>
      <w:r w:rsidRPr="00661456">
        <w:rPr>
          <w:rFonts w:ascii="Arial" w:eastAsia="Times New Roman" w:hAnsi="Arial" w:cs="Times New Roman"/>
          <w:color w:val="auto"/>
          <w:sz w:val="18"/>
          <w:szCs w:val="20"/>
          <w:lang w:val="en-US"/>
        </w:rPr>
        <w:t>.</w:t>
      </w:r>
    </w:p>
    <w:p w14:paraId="10360406" w14:textId="2F1BEDD8" w:rsidR="001869F2" w:rsidRDefault="001869F2" w:rsidP="000F430E">
      <w:pPr>
        <w:pStyle w:val="CETBodytext"/>
        <w:spacing w:line="276" w:lineRule="auto"/>
        <w:rPr>
          <w:lang w:val="en-GB"/>
        </w:rPr>
      </w:pPr>
    </w:p>
    <w:p w14:paraId="7F4130F6" w14:textId="77777777" w:rsidR="000132EC" w:rsidRDefault="000132EC" w:rsidP="000132EC">
      <w:pPr>
        <w:pStyle w:val="CETHeading1"/>
        <w:rPr>
          <w:lang w:val="en-GB"/>
        </w:rPr>
      </w:pPr>
      <w:r w:rsidRPr="00B57B36">
        <w:rPr>
          <w:lang w:val="en-GB"/>
        </w:rPr>
        <w:t>Conclusions</w:t>
      </w:r>
    </w:p>
    <w:p w14:paraId="36FC11BC" w14:textId="77777777" w:rsidR="000132EC" w:rsidRDefault="000132EC" w:rsidP="00600535">
      <w:pPr>
        <w:pStyle w:val="CETBodytext"/>
        <w:rPr>
          <w:lang w:val="en-GB"/>
        </w:rPr>
      </w:pPr>
    </w:p>
    <w:p w14:paraId="155BE109" w14:textId="58806218" w:rsidR="00DA03DB" w:rsidRPr="00DA03DB" w:rsidRDefault="00DA03DB" w:rsidP="000F430E">
      <w:pPr>
        <w:pStyle w:val="CETBodytext"/>
        <w:spacing w:line="276" w:lineRule="auto"/>
        <w:rPr>
          <w:lang w:val="en-GB"/>
        </w:rPr>
      </w:pPr>
      <w:r w:rsidRPr="00DA03DB">
        <w:rPr>
          <w:lang w:val="en-GB"/>
        </w:rPr>
        <w:t xml:space="preserve">The </w:t>
      </w:r>
      <w:r w:rsidR="00986E1D" w:rsidRPr="00B029DC">
        <w:rPr>
          <w:lang w:val="en-GB"/>
        </w:rPr>
        <w:t>technical-economic analysis</w:t>
      </w:r>
      <w:r w:rsidR="00986E1D">
        <w:rPr>
          <w:lang w:val="en-GB"/>
        </w:rPr>
        <w:t xml:space="preserve"> carried out in </w:t>
      </w:r>
      <w:r w:rsidRPr="00DA03DB">
        <w:rPr>
          <w:lang w:val="en-GB"/>
        </w:rPr>
        <w:t>th</w:t>
      </w:r>
      <w:r w:rsidR="00986E1D">
        <w:rPr>
          <w:lang w:val="en-GB"/>
        </w:rPr>
        <w:t>is</w:t>
      </w:r>
      <w:r w:rsidRPr="00DA03DB">
        <w:rPr>
          <w:lang w:val="en-GB"/>
        </w:rPr>
        <w:t xml:space="preserve"> project confirm</w:t>
      </w:r>
      <w:r w:rsidR="00C82D4D">
        <w:rPr>
          <w:lang w:val="en-GB"/>
        </w:rPr>
        <w:t>s</w:t>
      </w:r>
      <w:r w:rsidRPr="00DA03DB">
        <w:rPr>
          <w:lang w:val="en-GB"/>
        </w:rPr>
        <w:t xml:space="preserve"> that the production of e-fuels is technically feasible </w:t>
      </w:r>
      <w:r w:rsidR="00986E1D">
        <w:rPr>
          <w:lang w:val="en-GB"/>
        </w:rPr>
        <w:t>using</w:t>
      </w:r>
      <w:r w:rsidRPr="00DA03DB">
        <w:rPr>
          <w:lang w:val="en-GB"/>
        </w:rPr>
        <w:t xml:space="preserve"> existing and relatively consolidated technologies. Nevertheless, the expected energy yields, meaning by this the percentage of electricity of renewable origin transformed into chemical energy stored in the e-fuel produced, are relatively modest and the </w:t>
      </w:r>
      <w:r w:rsidR="0097192E">
        <w:rPr>
          <w:lang w:val="en-GB"/>
        </w:rPr>
        <w:t>predicted</w:t>
      </w:r>
      <w:r w:rsidR="0097192E" w:rsidRPr="00DA03DB">
        <w:rPr>
          <w:lang w:val="en-GB"/>
        </w:rPr>
        <w:t xml:space="preserve"> </w:t>
      </w:r>
      <w:r w:rsidRPr="00DA03DB">
        <w:rPr>
          <w:lang w:val="en-GB"/>
        </w:rPr>
        <w:t xml:space="preserve">production costs are significantly higher than those of conventional fossil fuels. These criticalities could be balanced by the much lower need for huge infrastructure </w:t>
      </w:r>
      <w:r w:rsidRPr="00DA03DB">
        <w:rPr>
          <w:lang w:val="en-GB"/>
        </w:rPr>
        <w:lastRenderedPageBreak/>
        <w:t>investments to ensure energy supply to the various transport sectors</w:t>
      </w:r>
      <w:r w:rsidR="0097192E">
        <w:rPr>
          <w:lang w:val="en-GB"/>
        </w:rPr>
        <w:t>, compared to a full-electrification scenario</w:t>
      </w:r>
      <w:r w:rsidRPr="00DA03DB">
        <w:rPr>
          <w:lang w:val="en-GB"/>
        </w:rPr>
        <w:t xml:space="preserve">. Furthermore, e-fuels have the </w:t>
      </w:r>
      <w:r w:rsidR="00986E1D">
        <w:rPr>
          <w:lang w:val="en-GB"/>
        </w:rPr>
        <w:t>main</w:t>
      </w:r>
      <w:r w:rsidRPr="00DA03DB">
        <w:rPr>
          <w:lang w:val="en-GB"/>
        </w:rPr>
        <w:t xml:space="preserve"> advantage of being usable in sectors that are difficult to electrify (air and sea transport) </w:t>
      </w:r>
      <w:r w:rsidR="00986E1D">
        <w:rPr>
          <w:lang w:val="en-GB"/>
        </w:rPr>
        <w:t>maintaining</w:t>
      </w:r>
      <w:r w:rsidRPr="00DA03DB">
        <w:rPr>
          <w:lang w:val="en-GB"/>
        </w:rPr>
        <w:t xml:space="preserve"> the existing vehicle fleet and</w:t>
      </w:r>
      <w:r w:rsidR="00986E1D">
        <w:rPr>
          <w:lang w:val="en-GB"/>
        </w:rPr>
        <w:t>,</w:t>
      </w:r>
      <w:r w:rsidRPr="00DA03DB">
        <w:rPr>
          <w:lang w:val="en-GB"/>
        </w:rPr>
        <w:t xml:space="preserve"> therefore</w:t>
      </w:r>
      <w:r w:rsidR="00986E1D">
        <w:rPr>
          <w:lang w:val="en-GB"/>
        </w:rPr>
        <w:t>,</w:t>
      </w:r>
      <w:r w:rsidRPr="00DA03DB">
        <w:rPr>
          <w:lang w:val="en-GB"/>
        </w:rPr>
        <w:t xml:space="preserve"> would allow a more rapid decarbonisation of th</w:t>
      </w:r>
      <w:r w:rsidR="00E948DA">
        <w:rPr>
          <w:lang w:val="en-GB"/>
        </w:rPr>
        <w:t>ose</w:t>
      </w:r>
      <w:r w:rsidRPr="00DA03DB">
        <w:rPr>
          <w:lang w:val="en-GB"/>
        </w:rPr>
        <w:t xml:space="preserve"> sector</w:t>
      </w:r>
      <w:r w:rsidR="00986E1D">
        <w:rPr>
          <w:lang w:val="en-GB"/>
        </w:rPr>
        <w:t>s</w:t>
      </w:r>
      <w:r w:rsidRPr="00DA03DB">
        <w:rPr>
          <w:lang w:val="en-GB"/>
        </w:rPr>
        <w:t xml:space="preserve"> without having to achieve a complete replacement of the fleet</w:t>
      </w:r>
      <w:r w:rsidR="00986E1D">
        <w:rPr>
          <w:lang w:val="en-GB"/>
        </w:rPr>
        <w:t>s</w:t>
      </w:r>
      <w:r w:rsidRPr="00DA03DB">
        <w:rPr>
          <w:lang w:val="en-GB"/>
        </w:rPr>
        <w:t>.</w:t>
      </w:r>
    </w:p>
    <w:p w14:paraId="76D8A535" w14:textId="05EBD0A5" w:rsidR="001869F2" w:rsidRDefault="00DA03DB" w:rsidP="000F430E">
      <w:pPr>
        <w:pStyle w:val="CETBodytext"/>
        <w:spacing w:line="276" w:lineRule="auto"/>
        <w:rPr>
          <w:lang w:val="en-GB"/>
        </w:rPr>
      </w:pPr>
      <w:r w:rsidRPr="00DA03DB">
        <w:rPr>
          <w:lang w:val="en-GB"/>
        </w:rPr>
        <w:t xml:space="preserve">Nevertheless, </w:t>
      </w:r>
      <w:r w:rsidR="007F1B0F">
        <w:rPr>
          <w:lang w:val="en-GB"/>
        </w:rPr>
        <w:t xml:space="preserve">since </w:t>
      </w:r>
      <w:r w:rsidRPr="00DA03DB">
        <w:rPr>
          <w:lang w:val="en-GB"/>
        </w:rPr>
        <w:t>the overall efficiency of the process is a fundamental parameter to judge its validity and to guarantee its long-term sustainability in th</w:t>
      </w:r>
      <w:r w:rsidR="007F1B0F">
        <w:rPr>
          <w:lang w:val="en-GB"/>
        </w:rPr>
        <w:t>is</w:t>
      </w:r>
      <w:r w:rsidRPr="00DA03DB">
        <w:rPr>
          <w:lang w:val="en-GB"/>
        </w:rPr>
        <w:t xml:space="preserve"> </w:t>
      </w:r>
      <w:r w:rsidR="002B4BD9">
        <w:rPr>
          <w:lang w:val="en-GB"/>
        </w:rPr>
        <w:t>study,</w:t>
      </w:r>
      <w:r w:rsidRPr="00DA03DB">
        <w:rPr>
          <w:lang w:val="en-GB"/>
        </w:rPr>
        <w:t xml:space="preserve"> </w:t>
      </w:r>
      <w:r w:rsidR="00FF4BCA">
        <w:rPr>
          <w:lang w:val="en-GB"/>
        </w:rPr>
        <w:t>we tried to select only th</w:t>
      </w:r>
      <w:r w:rsidR="00E948DA">
        <w:rPr>
          <w:lang w:val="en-GB"/>
        </w:rPr>
        <w:t>ose</w:t>
      </w:r>
      <w:r w:rsidR="00FF4BCA">
        <w:rPr>
          <w:lang w:val="en-GB"/>
        </w:rPr>
        <w:t xml:space="preserve"> </w:t>
      </w:r>
      <w:r w:rsidR="00FF4BCA" w:rsidRPr="00DA03DB">
        <w:rPr>
          <w:lang w:val="en-GB"/>
        </w:rPr>
        <w:t>process and plant solutions</w:t>
      </w:r>
      <w:r w:rsidR="00FF4BCA">
        <w:rPr>
          <w:lang w:val="en-GB"/>
        </w:rPr>
        <w:t xml:space="preserve"> </w:t>
      </w:r>
      <w:r w:rsidR="00E948DA">
        <w:rPr>
          <w:lang w:val="en-GB"/>
        </w:rPr>
        <w:t xml:space="preserve">which </w:t>
      </w:r>
      <w:r w:rsidR="00457C4F">
        <w:rPr>
          <w:lang w:val="en-GB"/>
        </w:rPr>
        <w:t xml:space="preserve">gave </w:t>
      </w:r>
      <w:r w:rsidRPr="00DA03DB">
        <w:rPr>
          <w:lang w:val="en-GB"/>
        </w:rPr>
        <w:t>the best performance in terms of energy efficiency</w:t>
      </w:r>
      <w:r w:rsidR="007F1B0F">
        <w:rPr>
          <w:lang w:val="en-GB"/>
        </w:rPr>
        <w:t>,</w:t>
      </w:r>
      <w:r w:rsidRPr="00DA03DB">
        <w:rPr>
          <w:lang w:val="en-GB"/>
        </w:rPr>
        <w:t xml:space="preserve"> reduction of CO</w:t>
      </w:r>
      <w:r w:rsidRPr="00986E1D">
        <w:rPr>
          <w:vertAlign w:val="subscript"/>
          <w:lang w:val="en-GB"/>
        </w:rPr>
        <w:t>2</w:t>
      </w:r>
      <w:r w:rsidRPr="00DA03DB">
        <w:rPr>
          <w:lang w:val="en-GB"/>
        </w:rPr>
        <w:t xml:space="preserve"> emissions and minimization of production costs</w:t>
      </w:r>
      <w:r w:rsidR="007F1B0F" w:rsidRPr="00DA03DB">
        <w:rPr>
          <w:lang w:val="en-GB"/>
        </w:rPr>
        <w:t>.</w:t>
      </w:r>
    </w:p>
    <w:p w14:paraId="2D1E53FA" w14:textId="7F88685F" w:rsidR="007F1B0F" w:rsidRDefault="007F1B0F" w:rsidP="00DA03DB">
      <w:pPr>
        <w:pStyle w:val="CETBodytext"/>
        <w:rPr>
          <w:lang w:val="en-GB"/>
        </w:rPr>
      </w:pPr>
    </w:p>
    <w:p w14:paraId="09860A97" w14:textId="77777777" w:rsidR="001869F2" w:rsidRDefault="001869F2" w:rsidP="00600535">
      <w:pPr>
        <w:pStyle w:val="CETBodytext"/>
        <w:rPr>
          <w:lang w:val="en-GB"/>
        </w:rPr>
      </w:pPr>
    </w:p>
    <w:p w14:paraId="19241946" w14:textId="77777777" w:rsidR="001869F2" w:rsidRDefault="001869F2" w:rsidP="00600535">
      <w:pPr>
        <w:pStyle w:val="CETBodytext"/>
        <w:rPr>
          <w:lang w:val="en-GB"/>
        </w:rPr>
      </w:pPr>
    </w:p>
    <w:p w14:paraId="4F1327F8" w14:textId="77777777" w:rsidR="00600535" w:rsidRPr="00B57B36" w:rsidRDefault="00600535" w:rsidP="00600535">
      <w:pPr>
        <w:pStyle w:val="CETReference"/>
      </w:pPr>
      <w:r w:rsidRPr="00B57B36">
        <w:t>References</w:t>
      </w:r>
    </w:p>
    <w:p w14:paraId="00BA3D4F" w14:textId="65E0CD3E" w:rsidR="00C52C3C" w:rsidRDefault="00C52C3C" w:rsidP="00E65B91">
      <w:pPr>
        <w:pStyle w:val="CETReferencetext"/>
      </w:pPr>
    </w:p>
    <w:p w14:paraId="7C2EBC28" w14:textId="3AF93EF5" w:rsidR="00C755AF" w:rsidRDefault="00C755AF" w:rsidP="00E65B91">
      <w:pPr>
        <w:pStyle w:val="CETReferencetext"/>
      </w:pPr>
    </w:p>
    <w:p w14:paraId="06F114E6" w14:textId="670D57BD" w:rsidR="009F1081" w:rsidRDefault="009F1081" w:rsidP="000F430E">
      <w:pPr>
        <w:pStyle w:val="CETReferencetext"/>
        <w:spacing w:line="240" w:lineRule="auto"/>
        <w:jc w:val="left"/>
      </w:pPr>
      <w:r w:rsidRPr="00617DA8">
        <w:t>Blanco, H., &amp; Faaij, A.</w:t>
      </w:r>
      <w:r w:rsidR="00C82D4D">
        <w:t>,</w:t>
      </w:r>
      <w:r w:rsidRPr="00617DA8">
        <w:t xml:space="preserve"> 2018</w:t>
      </w:r>
      <w:r w:rsidR="00C82D4D">
        <w:t>,</w:t>
      </w:r>
      <w:r w:rsidR="00C82D4D" w:rsidRPr="00617DA8">
        <w:t xml:space="preserve"> </w:t>
      </w:r>
      <w:r w:rsidRPr="00617DA8">
        <w:t>A review at the role of storage in energy systems with a focus on Power to Gas and long-term storage. Renewable and Sustainable Energy Reviews, 81, 1049-1086.</w:t>
      </w:r>
    </w:p>
    <w:p w14:paraId="050AC509" w14:textId="4AFB3D06" w:rsidR="00C755AF" w:rsidRPr="00617DA8" w:rsidRDefault="00670672" w:rsidP="000F430E">
      <w:pPr>
        <w:pStyle w:val="CETReferencetext"/>
        <w:spacing w:line="240" w:lineRule="auto"/>
        <w:jc w:val="left"/>
      </w:pPr>
      <w:r w:rsidRPr="00617DA8">
        <w:t xml:space="preserve">Dena, 2019. </w:t>
      </w:r>
      <w:proofErr w:type="spellStart"/>
      <w:r w:rsidRPr="00617DA8">
        <w:t>Powerfuels</w:t>
      </w:r>
      <w:proofErr w:type="spellEnd"/>
      <w:r w:rsidRPr="00617DA8">
        <w:t>: Missing Link to a successful global Energy Transition. Current state of</w:t>
      </w:r>
      <w:r w:rsidR="000F430E">
        <w:t xml:space="preserve"> </w:t>
      </w:r>
      <w:r w:rsidRPr="00617DA8">
        <w:t>technologies, markets, and politics – and start of a global dialogue.</w:t>
      </w:r>
      <w:r w:rsidR="000F430E">
        <w:t xml:space="preserve"> </w:t>
      </w:r>
      <w:r w:rsidRPr="00617DA8">
        <w:t>https://www.powerfuels.org/newsroom/publikationsdetailansicht/pub/powerfuels-a-missing-link-to-asuccessful-global-energy-transition/</w:t>
      </w:r>
      <w:r w:rsidR="001512FD" w:rsidRPr="00617DA8">
        <w:t xml:space="preserve"> accessed 24.07.20</w:t>
      </w:r>
      <w:r w:rsidRPr="00617DA8">
        <w:t>20</w:t>
      </w:r>
    </w:p>
    <w:p w14:paraId="13CC3638" w14:textId="2214A1C7" w:rsidR="000B234F" w:rsidRPr="00617DA8" w:rsidRDefault="000B234F" w:rsidP="000F430E">
      <w:pPr>
        <w:pStyle w:val="CETReferencetext"/>
        <w:spacing w:line="240" w:lineRule="auto"/>
        <w:jc w:val="left"/>
      </w:pPr>
      <w:proofErr w:type="spellStart"/>
      <w:r w:rsidRPr="00617DA8">
        <w:t>Fratalocchi</w:t>
      </w:r>
      <w:proofErr w:type="spellEnd"/>
      <w:r w:rsidR="00012CD6">
        <w:t xml:space="preserve"> L.</w:t>
      </w:r>
      <w:r w:rsidRPr="00617DA8">
        <w:t>, Groppi</w:t>
      </w:r>
      <w:r w:rsidR="00012CD6">
        <w:t xml:space="preserve"> G.</w:t>
      </w:r>
      <w:r w:rsidRPr="00617DA8">
        <w:t>, Visconti</w:t>
      </w:r>
      <w:r w:rsidR="00012CD6">
        <w:t xml:space="preserve"> </w:t>
      </w:r>
      <w:r w:rsidR="00012CD6" w:rsidRPr="00617DA8">
        <w:t>C.G.</w:t>
      </w:r>
      <w:r w:rsidRPr="00617DA8">
        <w:t xml:space="preserve">, </w:t>
      </w:r>
      <w:proofErr w:type="spellStart"/>
      <w:r w:rsidRPr="00617DA8">
        <w:t>Lietti</w:t>
      </w:r>
      <w:proofErr w:type="spellEnd"/>
      <w:r w:rsidR="00012CD6">
        <w:t xml:space="preserve"> L.</w:t>
      </w:r>
      <w:r w:rsidRPr="00617DA8">
        <w:t xml:space="preserve">, </w:t>
      </w:r>
      <w:proofErr w:type="spellStart"/>
      <w:r w:rsidRPr="00617DA8">
        <w:t>Tronconi</w:t>
      </w:r>
      <w:proofErr w:type="spellEnd"/>
      <w:r w:rsidR="00012CD6">
        <w:t xml:space="preserve"> E.</w:t>
      </w:r>
      <w:r w:rsidRPr="00617DA8">
        <w:t>, 2020, Adoption of 3D printed highly conductive periodic open cellular structures as an effective solution to enhance the heat transfer performances of compact Fischer-</w:t>
      </w:r>
      <w:proofErr w:type="spellStart"/>
      <w:r w:rsidRPr="00617DA8">
        <w:t>Tropsch</w:t>
      </w:r>
      <w:proofErr w:type="spellEnd"/>
      <w:r w:rsidRPr="00617DA8">
        <w:t xml:space="preserve"> fixed-bed reactors. Chemical Engineering Journal, 386, 123988.</w:t>
      </w:r>
    </w:p>
    <w:p w14:paraId="491B45D7" w14:textId="5A61D942" w:rsidR="005C0F59" w:rsidRDefault="005C0F59" w:rsidP="000F430E">
      <w:pPr>
        <w:pStyle w:val="CETReferencetext"/>
        <w:spacing w:line="240" w:lineRule="auto"/>
        <w:jc w:val="left"/>
      </w:pPr>
      <w:r w:rsidRPr="00617DA8">
        <w:t>Frontier Economics, 2018. International Aspects of a Power-to-X Roadmap.</w:t>
      </w:r>
      <w:r w:rsidR="000F430E">
        <w:t xml:space="preserve"> </w:t>
      </w:r>
      <w:hyperlink r:id="rId17" w:history="1">
        <w:r w:rsidRPr="00617DA8">
          <w:t>https://www.frontier-economics.com/media/2642/frontier-int-ptx-roadmap-stc-12-10-18-final-report.pdf</w:t>
        </w:r>
      </w:hyperlink>
      <w:r w:rsidRPr="00617DA8">
        <w:t xml:space="preserve"> accessed 24.07.2020</w:t>
      </w:r>
    </w:p>
    <w:p w14:paraId="4ED1D0D7" w14:textId="77777777" w:rsidR="00091332" w:rsidRPr="00091332" w:rsidRDefault="00091332" w:rsidP="000F430E">
      <w:pPr>
        <w:pStyle w:val="CETReferencetext"/>
        <w:spacing w:line="240" w:lineRule="auto"/>
        <w:jc w:val="left"/>
      </w:pPr>
      <w:r w:rsidRPr="00091332">
        <w:t xml:space="preserve">IEAGHG, 2017, Techno-Economic Evaluation of SMR Based Standalone (Merchant) Hydrogen Plant with CCS. </w:t>
      </w:r>
    </w:p>
    <w:p w14:paraId="5A13856B" w14:textId="353F8D82" w:rsidR="006B4888" w:rsidRPr="000D56D6" w:rsidRDefault="00810A02" w:rsidP="000F430E">
      <w:pPr>
        <w:pStyle w:val="CETReferencetext"/>
        <w:spacing w:line="240" w:lineRule="auto"/>
        <w:jc w:val="left"/>
      </w:pPr>
      <w:r w:rsidRPr="00617DA8">
        <w:t xml:space="preserve">O`Connell, A., </w:t>
      </w:r>
      <w:proofErr w:type="spellStart"/>
      <w:r w:rsidRPr="00617DA8">
        <w:t>Prussi</w:t>
      </w:r>
      <w:proofErr w:type="spellEnd"/>
      <w:r w:rsidRPr="00617DA8">
        <w:t>, M., Padella, M., Konti, A. and Lonza, L., Advanced Alternative Fuels: Technology Development Report, EUR 29911 EN, Publications Office of the European Union, Luxembourg, 2019.</w:t>
      </w:r>
      <w:r w:rsidR="009F1081" w:rsidRPr="00617DA8">
        <w:t xml:space="preserve"> </w:t>
      </w:r>
      <w:hyperlink r:id="rId18" w:history="1">
        <w:r w:rsidRPr="00617DA8">
          <w:t>https://publications.jrc.ec.europa.eu/repository/bitstream/JRC118298/jrc118298_1.pdf</w:t>
        </w:r>
      </w:hyperlink>
      <w:r w:rsidR="000F430E">
        <w:t xml:space="preserve"> </w:t>
      </w:r>
      <w:r w:rsidRPr="00617DA8">
        <w:t>accessed 24.07.2020</w:t>
      </w:r>
    </w:p>
    <w:p w14:paraId="3A1756B0" w14:textId="030A0908" w:rsidR="00012CD6" w:rsidRPr="00091332" w:rsidRDefault="00012CD6" w:rsidP="000F430E">
      <w:pPr>
        <w:pStyle w:val="CETReferencetext"/>
        <w:spacing w:line="240" w:lineRule="auto"/>
        <w:jc w:val="left"/>
      </w:pPr>
      <w:r w:rsidRPr="00091332">
        <w:t xml:space="preserve">Riva L., Martínez I., Martini M., Gallucci F., van Sint </w:t>
      </w:r>
      <w:proofErr w:type="spellStart"/>
      <w:r w:rsidRPr="00091332">
        <w:t>Annaland</w:t>
      </w:r>
      <w:proofErr w:type="spellEnd"/>
      <w:r w:rsidRPr="00091332">
        <w:t xml:space="preserve"> M., Romano M.C., 2018, Techno-economic analysis of the Ca-Cu process integrated in hydrogen plants with CO2 capture, Int. J. Hydrogen Energy, 43, 15720-15738.</w:t>
      </w:r>
    </w:p>
    <w:p w14:paraId="2C65601A" w14:textId="573B88AD" w:rsidR="00012CD6" w:rsidRPr="00091332" w:rsidRDefault="00012CD6" w:rsidP="000F430E">
      <w:pPr>
        <w:pStyle w:val="CETReferencetext"/>
        <w:spacing w:line="240" w:lineRule="auto"/>
        <w:jc w:val="left"/>
      </w:pPr>
      <w:r w:rsidRPr="00091332">
        <w:t xml:space="preserve">Sternberg A., </w:t>
      </w:r>
      <w:proofErr w:type="spellStart"/>
      <w:r w:rsidRPr="00091332">
        <w:t>Bardow</w:t>
      </w:r>
      <w:proofErr w:type="spellEnd"/>
      <w:r w:rsidRPr="00091332">
        <w:t xml:space="preserve"> A., 2015, Power-to-</w:t>
      </w:r>
      <w:proofErr w:type="gramStart"/>
      <w:r w:rsidRPr="00091332">
        <w:t>What?-</w:t>
      </w:r>
      <w:proofErr w:type="gramEnd"/>
      <w:r w:rsidRPr="00091332">
        <w:t>Environmental assessment of energy storage systems, Energy and Environmental Science, 8, 389-400.</w:t>
      </w:r>
    </w:p>
    <w:p w14:paraId="19C4FC68" w14:textId="24305A32" w:rsidR="004628D2" w:rsidRPr="000F430E" w:rsidRDefault="00012CD6" w:rsidP="000F430E">
      <w:pPr>
        <w:pStyle w:val="CETReferencetext"/>
        <w:spacing w:line="240" w:lineRule="auto"/>
        <w:jc w:val="left"/>
      </w:pPr>
      <w:r w:rsidRPr="000F430E">
        <w:t>Zang</w:t>
      </w:r>
      <w:r w:rsidR="00B720AD" w:rsidRPr="000F430E">
        <w:t xml:space="preserve"> G, </w:t>
      </w:r>
      <w:r w:rsidRPr="000F430E">
        <w:t>Sun</w:t>
      </w:r>
      <w:r w:rsidR="00B720AD" w:rsidRPr="000F430E">
        <w:t xml:space="preserve"> P.</w:t>
      </w:r>
      <w:r w:rsidRPr="000F430E">
        <w:t xml:space="preserve">, </w:t>
      </w:r>
      <w:proofErr w:type="spellStart"/>
      <w:r w:rsidRPr="000F430E">
        <w:t>Elgowainy</w:t>
      </w:r>
      <w:proofErr w:type="spellEnd"/>
      <w:r w:rsidR="00B720AD" w:rsidRPr="000F430E">
        <w:t xml:space="preserve"> A.A.</w:t>
      </w:r>
      <w:r w:rsidRPr="000F430E">
        <w:t>, Bafana</w:t>
      </w:r>
      <w:r w:rsidR="00B720AD" w:rsidRPr="000F430E">
        <w:t xml:space="preserve"> A.</w:t>
      </w:r>
      <w:r w:rsidRPr="000F430E">
        <w:t>, Wang</w:t>
      </w:r>
      <w:r w:rsidR="00B720AD" w:rsidRPr="000F430E">
        <w:t xml:space="preserve"> M.</w:t>
      </w:r>
      <w:r w:rsidRPr="000F430E">
        <w:t>, 2021, Performance and cost analysis of liquid fuel production from H2 and CO2 based on the Fischer-</w:t>
      </w:r>
      <w:proofErr w:type="spellStart"/>
      <w:r w:rsidRPr="000F430E">
        <w:t>Tropsch</w:t>
      </w:r>
      <w:proofErr w:type="spellEnd"/>
      <w:r w:rsidRPr="000F430E">
        <w:t xml:space="preserve"> process. Journal of CO2 Utilization, 46, 101459.</w:t>
      </w:r>
    </w:p>
    <w:sectPr w:rsidR="004628D2" w:rsidRPr="000F430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F60E" w14:textId="77777777" w:rsidR="00360C71" w:rsidRDefault="00360C71" w:rsidP="004F5E36">
      <w:r>
        <w:separator/>
      </w:r>
    </w:p>
  </w:endnote>
  <w:endnote w:type="continuationSeparator" w:id="0">
    <w:p w14:paraId="0360D199" w14:textId="77777777" w:rsidR="00360C71" w:rsidRDefault="00360C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0756" w14:textId="77777777" w:rsidR="00360C71" w:rsidRDefault="00360C71" w:rsidP="004F5E36">
      <w:r>
        <w:separator/>
      </w:r>
    </w:p>
  </w:footnote>
  <w:footnote w:type="continuationSeparator" w:id="0">
    <w:p w14:paraId="2C346BEB" w14:textId="77777777" w:rsidR="00360C71" w:rsidRDefault="00360C7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2741F6"/>
    <w:multiLevelType w:val="hybridMultilevel"/>
    <w:tmpl w:val="D22A2292"/>
    <w:lvl w:ilvl="0" w:tplc="594C1B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734B07"/>
    <w:multiLevelType w:val="hybridMultilevel"/>
    <w:tmpl w:val="231AF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0139111">
    <w:abstractNumId w:val="11"/>
  </w:num>
  <w:num w:numId="2" w16cid:durableId="506555576">
    <w:abstractNumId w:val="8"/>
  </w:num>
  <w:num w:numId="3" w16cid:durableId="1368485414">
    <w:abstractNumId w:val="3"/>
  </w:num>
  <w:num w:numId="4" w16cid:durableId="1631402156">
    <w:abstractNumId w:val="2"/>
  </w:num>
  <w:num w:numId="5" w16cid:durableId="180166655">
    <w:abstractNumId w:val="1"/>
  </w:num>
  <w:num w:numId="6" w16cid:durableId="690301226">
    <w:abstractNumId w:val="0"/>
  </w:num>
  <w:num w:numId="7" w16cid:durableId="2025859348">
    <w:abstractNumId w:val="9"/>
  </w:num>
  <w:num w:numId="8" w16cid:durableId="531189163">
    <w:abstractNumId w:val="7"/>
  </w:num>
  <w:num w:numId="9" w16cid:durableId="2006394326">
    <w:abstractNumId w:val="6"/>
  </w:num>
  <w:num w:numId="10" w16cid:durableId="1111243271">
    <w:abstractNumId w:val="5"/>
  </w:num>
  <w:num w:numId="11" w16cid:durableId="123430644">
    <w:abstractNumId w:val="4"/>
  </w:num>
  <w:num w:numId="12" w16cid:durableId="1235241057">
    <w:abstractNumId w:val="18"/>
  </w:num>
  <w:num w:numId="13" w16cid:durableId="1974292234">
    <w:abstractNumId w:val="13"/>
  </w:num>
  <w:num w:numId="14" w16cid:durableId="724328314">
    <w:abstractNumId w:val="19"/>
  </w:num>
  <w:num w:numId="15" w16cid:durableId="1402869479">
    <w:abstractNumId w:val="22"/>
  </w:num>
  <w:num w:numId="16" w16cid:durableId="938754579">
    <w:abstractNumId w:val="21"/>
  </w:num>
  <w:num w:numId="17" w16cid:durableId="1311133405">
    <w:abstractNumId w:val="12"/>
  </w:num>
  <w:num w:numId="18" w16cid:durableId="228542445">
    <w:abstractNumId w:val="13"/>
    <w:lvlOverride w:ilvl="0">
      <w:startOverride w:val="1"/>
    </w:lvlOverride>
  </w:num>
  <w:num w:numId="19" w16cid:durableId="1982031240">
    <w:abstractNumId w:val="17"/>
  </w:num>
  <w:num w:numId="20" w16cid:durableId="1720745586">
    <w:abstractNumId w:val="16"/>
  </w:num>
  <w:num w:numId="21" w16cid:durableId="1561285793">
    <w:abstractNumId w:val="15"/>
  </w:num>
  <w:num w:numId="22" w16cid:durableId="1072584100">
    <w:abstractNumId w:val="14"/>
  </w:num>
  <w:num w:numId="23" w16cid:durableId="766458750">
    <w:abstractNumId w:val="20"/>
  </w:num>
  <w:num w:numId="24" w16cid:durableId="193812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CD6"/>
    <w:rsid w:val="000132EC"/>
    <w:rsid w:val="00015934"/>
    <w:rsid w:val="00022C6C"/>
    <w:rsid w:val="00026164"/>
    <w:rsid w:val="0003148D"/>
    <w:rsid w:val="00031EEC"/>
    <w:rsid w:val="00051566"/>
    <w:rsid w:val="00062A9A"/>
    <w:rsid w:val="00065058"/>
    <w:rsid w:val="000753FB"/>
    <w:rsid w:val="000806BA"/>
    <w:rsid w:val="00086C39"/>
    <w:rsid w:val="00091332"/>
    <w:rsid w:val="000A03B2"/>
    <w:rsid w:val="000A2BEE"/>
    <w:rsid w:val="000B234F"/>
    <w:rsid w:val="000D0268"/>
    <w:rsid w:val="000D34BE"/>
    <w:rsid w:val="000E102F"/>
    <w:rsid w:val="000E36F1"/>
    <w:rsid w:val="000E3A73"/>
    <w:rsid w:val="000E414A"/>
    <w:rsid w:val="000E67BD"/>
    <w:rsid w:val="000F093C"/>
    <w:rsid w:val="000F430E"/>
    <w:rsid w:val="000F787B"/>
    <w:rsid w:val="001066F2"/>
    <w:rsid w:val="0012091F"/>
    <w:rsid w:val="00126BC2"/>
    <w:rsid w:val="001308B6"/>
    <w:rsid w:val="0013121F"/>
    <w:rsid w:val="00131FE6"/>
    <w:rsid w:val="0013263F"/>
    <w:rsid w:val="001331DF"/>
    <w:rsid w:val="00134DE4"/>
    <w:rsid w:val="0014034D"/>
    <w:rsid w:val="00144D16"/>
    <w:rsid w:val="00150E59"/>
    <w:rsid w:val="001512FD"/>
    <w:rsid w:val="00152DE3"/>
    <w:rsid w:val="00164CF9"/>
    <w:rsid w:val="001667A6"/>
    <w:rsid w:val="00167E8F"/>
    <w:rsid w:val="00174870"/>
    <w:rsid w:val="00184AD6"/>
    <w:rsid w:val="001869F2"/>
    <w:rsid w:val="001A4AF7"/>
    <w:rsid w:val="001B0349"/>
    <w:rsid w:val="001B1E93"/>
    <w:rsid w:val="001B65C1"/>
    <w:rsid w:val="001C684B"/>
    <w:rsid w:val="001D0CFB"/>
    <w:rsid w:val="001D21AF"/>
    <w:rsid w:val="001D53FC"/>
    <w:rsid w:val="001F42A5"/>
    <w:rsid w:val="001F7B9D"/>
    <w:rsid w:val="00201C93"/>
    <w:rsid w:val="002224B4"/>
    <w:rsid w:val="0024093C"/>
    <w:rsid w:val="002447EF"/>
    <w:rsid w:val="00251550"/>
    <w:rsid w:val="00263B05"/>
    <w:rsid w:val="0027221A"/>
    <w:rsid w:val="00275B61"/>
    <w:rsid w:val="00280FAF"/>
    <w:rsid w:val="00282656"/>
    <w:rsid w:val="0029047D"/>
    <w:rsid w:val="002939DA"/>
    <w:rsid w:val="00296B83"/>
    <w:rsid w:val="002B4015"/>
    <w:rsid w:val="002B4BD9"/>
    <w:rsid w:val="002B78CE"/>
    <w:rsid w:val="002C2FB6"/>
    <w:rsid w:val="002C7C73"/>
    <w:rsid w:val="002E5FA7"/>
    <w:rsid w:val="002F3309"/>
    <w:rsid w:val="003008CE"/>
    <w:rsid w:val="003009B7"/>
    <w:rsid w:val="00300E56"/>
    <w:rsid w:val="003017FD"/>
    <w:rsid w:val="0030469C"/>
    <w:rsid w:val="00305FB8"/>
    <w:rsid w:val="00320401"/>
    <w:rsid w:val="00321CA6"/>
    <w:rsid w:val="00323763"/>
    <w:rsid w:val="00334C09"/>
    <w:rsid w:val="00360C71"/>
    <w:rsid w:val="003723D4"/>
    <w:rsid w:val="00381905"/>
    <w:rsid w:val="00384CC8"/>
    <w:rsid w:val="003871FD"/>
    <w:rsid w:val="003A1E30"/>
    <w:rsid w:val="003A2829"/>
    <w:rsid w:val="003A7D1C"/>
    <w:rsid w:val="003B304B"/>
    <w:rsid w:val="003B3146"/>
    <w:rsid w:val="003B4FF9"/>
    <w:rsid w:val="003F015E"/>
    <w:rsid w:val="00400414"/>
    <w:rsid w:val="004117E3"/>
    <w:rsid w:val="0041446B"/>
    <w:rsid w:val="004172ED"/>
    <w:rsid w:val="0044071E"/>
    <w:rsid w:val="0044299B"/>
    <w:rsid w:val="0044329C"/>
    <w:rsid w:val="004437CC"/>
    <w:rsid w:val="00453E24"/>
    <w:rsid w:val="00457456"/>
    <w:rsid w:val="004577FE"/>
    <w:rsid w:val="00457B9C"/>
    <w:rsid w:val="00457C4F"/>
    <w:rsid w:val="0046164A"/>
    <w:rsid w:val="004628D2"/>
    <w:rsid w:val="00462DCD"/>
    <w:rsid w:val="004648AD"/>
    <w:rsid w:val="004703A9"/>
    <w:rsid w:val="004760DE"/>
    <w:rsid w:val="004763D7"/>
    <w:rsid w:val="00484F22"/>
    <w:rsid w:val="0049575E"/>
    <w:rsid w:val="004A004E"/>
    <w:rsid w:val="004A24CF"/>
    <w:rsid w:val="004B52CF"/>
    <w:rsid w:val="004C3D1D"/>
    <w:rsid w:val="004C3D84"/>
    <w:rsid w:val="004C7913"/>
    <w:rsid w:val="004D034B"/>
    <w:rsid w:val="004E4DD6"/>
    <w:rsid w:val="004F5E36"/>
    <w:rsid w:val="00507B47"/>
    <w:rsid w:val="00507BEF"/>
    <w:rsid w:val="00507CC9"/>
    <w:rsid w:val="005119A5"/>
    <w:rsid w:val="005160A9"/>
    <w:rsid w:val="005278B7"/>
    <w:rsid w:val="00532016"/>
    <w:rsid w:val="005346C8"/>
    <w:rsid w:val="00543E7D"/>
    <w:rsid w:val="00547A68"/>
    <w:rsid w:val="005531C9"/>
    <w:rsid w:val="005656C2"/>
    <w:rsid w:val="00570C43"/>
    <w:rsid w:val="00573ABB"/>
    <w:rsid w:val="00575F77"/>
    <w:rsid w:val="005760EB"/>
    <w:rsid w:val="005A234E"/>
    <w:rsid w:val="005A5A8F"/>
    <w:rsid w:val="005B2110"/>
    <w:rsid w:val="005B211F"/>
    <w:rsid w:val="005B3C75"/>
    <w:rsid w:val="005B4F24"/>
    <w:rsid w:val="005B61E6"/>
    <w:rsid w:val="005C0F59"/>
    <w:rsid w:val="005C77E1"/>
    <w:rsid w:val="005D668A"/>
    <w:rsid w:val="005D6A2F"/>
    <w:rsid w:val="005E1A82"/>
    <w:rsid w:val="005E794C"/>
    <w:rsid w:val="005F0A28"/>
    <w:rsid w:val="005F0E5E"/>
    <w:rsid w:val="00600535"/>
    <w:rsid w:val="00606E7A"/>
    <w:rsid w:val="00610CD6"/>
    <w:rsid w:val="00610F39"/>
    <w:rsid w:val="00617DA8"/>
    <w:rsid w:val="00620DEE"/>
    <w:rsid w:val="00621F92"/>
    <w:rsid w:val="0062280A"/>
    <w:rsid w:val="00625639"/>
    <w:rsid w:val="00626F75"/>
    <w:rsid w:val="00631B33"/>
    <w:rsid w:val="0064184D"/>
    <w:rsid w:val="006422CC"/>
    <w:rsid w:val="00647810"/>
    <w:rsid w:val="00654CD3"/>
    <w:rsid w:val="00660E3E"/>
    <w:rsid w:val="00661456"/>
    <w:rsid w:val="00662E74"/>
    <w:rsid w:val="00670672"/>
    <w:rsid w:val="00680C23"/>
    <w:rsid w:val="00693766"/>
    <w:rsid w:val="006A2376"/>
    <w:rsid w:val="006A3281"/>
    <w:rsid w:val="006A4727"/>
    <w:rsid w:val="006A4922"/>
    <w:rsid w:val="006B4888"/>
    <w:rsid w:val="006C2E45"/>
    <w:rsid w:val="006C359C"/>
    <w:rsid w:val="006C5579"/>
    <w:rsid w:val="006D6E8B"/>
    <w:rsid w:val="006E578F"/>
    <w:rsid w:val="006E737D"/>
    <w:rsid w:val="006F090B"/>
    <w:rsid w:val="007024A0"/>
    <w:rsid w:val="007035A8"/>
    <w:rsid w:val="00713973"/>
    <w:rsid w:val="00720A24"/>
    <w:rsid w:val="00726F02"/>
    <w:rsid w:val="00732386"/>
    <w:rsid w:val="0073514D"/>
    <w:rsid w:val="007447F3"/>
    <w:rsid w:val="00751AA1"/>
    <w:rsid w:val="0075499F"/>
    <w:rsid w:val="007661C8"/>
    <w:rsid w:val="0077098D"/>
    <w:rsid w:val="00773874"/>
    <w:rsid w:val="007931FA"/>
    <w:rsid w:val="007A1D4D"/>
    <w:rsid w:val="007A4861"/>
    <w:rsid w:val="007A7BBA"/>
    <w:rsid w:val="007B0C50"/>
    <w:rsid w:val="007B3C89"/>
    <w:rsid w:val="007B48F9"/>
    <w:rsid w:val="007C1A43"/>
    <w:rsid w:val="007E3922"/>
    <w:rsid w:val="007E50E5"/>
    <w:rsid w:val="007F1B0F"/>
    <w:rsid w:val="007F406A"/>
    <w:rsid w:val="0080013E"/>
    <w:rsid w:val="00810A02"/>
    <w:rsid w:val="00813288"/>
    <w:rsid w:val="008168FC"/>
    <w:rsid w:val="00830996"/>
    <w:rsid w:val="008345F1"/>
    <w:rsid w:val="008469B4"/>
    <w:rsid w:val="00865B07"/>
    <w:rsid w:val="008667EA"/>
    <w:rsid w:val="00870DDA"/>
    <w:rsid w:val="008743A7"/>
    <w:rsid w:val="008759BD"/>
    <w:rsid w:val="0087637F"/>
    <w:rsid w:val="00892AD5"/>
    <w:rsid w:val="008A1512"/>
    <w:rsid w:val="008D32B9"/>
    <w:rsid w:val="008D433B"/>
    <w:rsid w:val="008D4A16"/>
    <w:rsid w:val="008E566E"/>
    <w:rsid w:val="008E5C17"/>
    <w:rsid w:val="0090161A"/>
    <w:rsid w:val="00901EB6"/>
    <w:rsid w:val="00904C62"/>
    <w:rsid w:val="00922BA8"/>
    <w:rsid w:val="00924DAC"/>
    <w:rsid w:val="00927058"/>
    <w:rsid w:val="00942750"/>
    <w:rsid w:val="009450CE"/>
    <w:rsid w:val="00947179"/>
    <w:rsid w:val="0095164B"/>
    <w:rsid w:val="00954090"/>
    <w:rsid w:val="00954CD7"/>
    <w:rsid w:val="009573E7"/>
    <w:rsid w:val="00963E05"/>
    <w:rsid w:val="00964A45"/>
    <w:rsid w:val="00967843"/>
    <w:rsid w:val="00967D54"/>
    <w:rsid w:val="00971028"/>
    <w:rsid w:val="0097192E"/>
    <w:rsid w:val="0098454D"/>
    <w:rsid w:val="00986629"/>
    <w:rsid w:val="00986E1D"/>
    <w:rsid w:val="00993B84"/>
    <w:rsid w:val="00996483"/>
    <w:rsid w:val="00996F5A"/>
    <w:rsid w:val="009B041A"/>
    <w:rsid w:val="009C37C3"/>
    <w:rsid w:val="009C7C86"/>
    <w:rsid w:val="009D2FF7"/>
    <w:rsid w:val="009E2690"/>
    <w:rsid w:val="009E7884"/>
    <w:rsid w:val="009E788A"/>
    <w:rsid w:val="009F0E08"/>
    <w:rsid w:val="009F1081"/>
    <w:rsid w:val="00A153F3"/>
    <w:rsid w:val="00A1763D"/>
    <w:rsid w:val="00A17CEC"/>
    <w:rsid w:val="00A27EF0"/>
    <w:rsid w:val="00A42361"/>
    <w:rsid w:val="00A50B20"/>
    <w:rsid w:val="00A51390"/>
    <w:rsid w:val="00A60D13"/>
    <w:rsid w:val="00A7223D"/>
    <w:rsid w:val="00A72745"/>
    <w:rsid w:val="00A76EFC"/>
    <w:rsid w:val="00A91010"/>
    <w:rsid w:val="00A97F29"/>
    <w:rsid w:val="00AA702E"/>
    <w:rsid w:val="00AB0964"/>
    <w:rsid w:val="00AB4905"/>
    <w:rsid w:val="00AB5011"/>
    <w:rsid w:val="00AC405D"/>
    <w:rsid w:val="00AC7368"/>
    <w:rsid w:val="00AD16B9"/>
    <w:rsid w:val="00AE2170"/>
    <w:rsid w:val="00AE377D"/>
    <w:rsid w:val="00AE4306"/>
    <w:rsid w:val="00AF0EBA"/>
    <w:rsid w:val="00B029DC"/>
    <w:rsid w:val="00B02C8A"/>
    <w:rsid w:val="00B045D3"/>
    <w:rsid w:val="00B17FBD"/>
    <w:rsid w:val="00B235B2"/>
    <w:rsid w:val="00B315A6"/>
    <w:rsid w:val="00B31813"/>
    <w:rsid w:val="00B33365"/>
    <w:rsid w:val="00B53A58"/>
    <w:rsid w:val="00B57B36"/>
    <w:rsid w:val="00B57E6F"/>
    <w:rsid w:val="00B720AD"/>
    <w:rsid w:val="00B77953"/>
    <w:rsid w:val="00B8686D"/>
    <w:rsid w:val="00B93F69"/>
    <w:rsid w:val="00B94C3E"/>
    <w:rsid w:val="00BB1DDC"/>
    <w:rsid w:val="00BC30C9"/>
    <w:rsid w:val="00BD077D"/>
    <w:rsid w:val="00BD22E4"/>
    <w:rsid w:val="00BD7A33"/>
    <w:rsid w:val="00BE39B0"/>
    <w:rsid w:val="00BE3E58"/>
    <w:rsid w:val="00C01616"/>
    <w:rsid w:val="00C0162B"/>
    <w:rsid w:val="00C02391"/>
    <w:rsid w:val="00C068ED"/>
    <w:rsid w:val="00C22E0C"/>
    <w:rsid w:val="00C345B1"/>
    <w:rsid w:val="00C40142"/>
    <w:rsid w:val="00C44032"/>
    <w:rsid w:val="00C52C3C"/>
    <w:rsid w:val="00C55236"/>
    <w:rsid w:val="00C57182"/>
    <w:rsid w:val="00C57863"/>
    <w:rsid w:val="00C60A30"/>
    <w:rsid w:val="00C640AF"/>
    <w:rsid w:val="00C655FD"/>
    <w:rsid w:val="00C75407"/>
    <w:rsid w:val="00C755AF"/>
    <w:rsid w:val="00C82D4D"/>
    <w:rsid w:val="00C870A8"/>
    <w:rsid w:val="00C8784D"/>
    <w:rsid w:val="00C94434"/>
    <w:rsid w:val="00CA0D75"/>
    <w:rsid w:val="00CA1C95"/>
    <w:rsid w:val="00CA42FE"/>
    <w:rsid w:val="00CA5A9C"/>
    <w:rsid w:val="00CC4C20"/>
    <w:rsid w:val="00CD3517"/>
    <w:rsid w:val="00CD5FE2"/>
    <w:rsid w:val="00CE7C68"/>
    <w:rsid w:val="00D02B4C"/>
    <w:rsid w:val="00D040C4"/>
    <w:rsid w:val="00D15A6F"/>
    <w:rsid w:val="00D1666A"/>
    <w:rsid w:val="00D20AD1"/>
    <w:rsid w:val="00D25544"/>
    <w:rsid w:val="00D25DF8"/>
    <w:rsid w:val="00D46B7E"/>
    <w:rsid w:val="00D57C84"/>
    <w:rsid w:val="00D6057D"/>
    <w:rsid w:val="00D71640"/>
    <w:rsid w:val="00D836C5"/>
    <w:rsid w:val="00D84576"/>
    <w:rsid w:val="00D8472D"/>
    <w:rsid w:val="00D905EE"/>
    <w:rsid w:val="00DA03DB"/>
    <w:rsid w:val="00DA1399"/>
    <w:rsid w:val="00DA24C6"/>
    <w:rsid w:val="00DA4D7B"/>
    <w:rsid w:val="00DD271C"/>
    <w:rsid w:val="00DE264A"/>
    <w:rsid w:val="00DE483E"/>
    <w:rsid w:val="00DF5072"/>
    <w:rsid w:val="00E02D18"/>
    <w:rsid w:val="00E041E7"/>
    <w:rsid w:val="00E23CA1"/>
    <w:rsid w:val="00E409A8"/>
    <w:rsid w:val="00E50C12"/>
    <w:rsid w:val="00E65B91"/>
    <w:rsid w:val="00E66F86"/>
    <w:rsid w:val="00E7209D"/>
    <w:rsid w:val="00E72EAD"/>
    <w:rsid w:val="00E77223"/>
    <w:rsid w:val="00E8528B"/>
    <w:rsid w:val="00E85B94"/>
    <w:rsid w:val="00E91777"/>
    <w:rsid w:val="00E92672"/>
    <w:rsid w:val="00E948DA"/>
    <w:rsid w:val="00E978D0"/>
    <w:rsid w:val="00EA045D"/>
    <w:rsid w:val="00EA4613"/>
    <w:rsid w:val="00EA7F91"/>
    <w:rsid w:val="00EB0FD3"/>
    <w:rsid w:val="00EB1523"/>
    <w:rsid w:val="00EB1D19"/>
    <w:rsid w:val="00EC0E49"/>
    <w:rsid w:val="00EC101F"/>
    <w:rsid w:val="00EC1D9F"/>
    <w:rsid w:val="00EE0131"/>
    <w:rsid w:val="00EE068B"/>
    <w:rsid w:val="00EE17B0"/>
    <w:rsid w:val="00EF06D9"/>
    <w:rsid w:val="00F200E0"/>
    <w:rsid w:val="00F30C64"/>
    <w:rsid w:val="00F32BA2"/>
    <w:rsid w:val="00F32CDB"/>
    <w:rsid w:val="00F565FE"/>
    <w:rsid w:val="00F63A70"/>
    <w:rsid w:val="00F7534E"/>
    <w:rsid w:val="00FA1802"/>
    <w:rsid w:val="00FA21D0"/>
    <w:rsid w:val="00FA3712"/>
    <w:rsid w:val="00FA5F5F"/>
    <w:rsid w:val="00FB730C"/>
    <w:rsid w:val="00FC2695"/>
    <w:rsid w:val="00FC2E01"/>
    <w:rsid w:val="00FC3E03"/>
    <w:rsid w:val="00FC3FC1"/>
    <w:rsid w:val="00FF4B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B77953"/>
    <w:rPr>
      <w:color w:val="605E5C"/>
      <w:shd w:val="clear" w:color="auto" w:fill="E1DFDD"/>
    </w:rPr>
  </w:style>
  <w:style w:type="paragraph" w:styleId="Revisione">
    <w:name w:val="Revision"/>
    <w:hidden/>
    <w:uiPriority w:val="99"/>
    <w:semiHidden/>
    <w:rsid w:val="00EB1D19"/>
    <w:pPr>
      <w:spacing w:after="0" w:line="240" w:lineRule="auto"/>
    </w:pPr>
  </w:style>
  <w:style w:type="paragraph" w:customStyle="1" w:styleId="Default">
    <w:name w:val="Default"/>
    <w:rsid w:val="00EA04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hyperlink" Target="https://publications.jrc.ec.europa.eu/repository/bitstream/JRC118298/jrc118298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manso@unem.it" TargetMode="External"/><Relationship Id="rId17" Type="http://schemas.openxmlformats.org/officeDocument/2006/relationships/hyperlink" Target="https://www.frontier-economics.com/media/2642/frontier-int-ptx-roadmap-stc-12-10-18-final-report.pdf"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P.le+Luigi+Sturzo,+31++Roma?entry=gmail&amp;source=g"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mailto:P.le%20Luigi%20Sturzo,%203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9742-872A-46B3-9F79-5ABCE8E4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2090</Words>
  <Characters>11919</Characters>
  <Application>Microsoft Office Word</Application>
  <DocSecurity>0</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ANGELO LUNGHI</cp:lastModifiedBy>
  <cp:revision>2</cp:revision>
  <cp:lastPrinted>2015-05-12T18:31:00Z</cp:lastPrinted>
  <dcterms:created xsi:type="dcterms:W3CDTF">2022-08-10T08:39:00Z</dcterms:created>
  <dcterms:modified xsi:type="dcterms:W3CDTF">2022-08-10T08:39:00Z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